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ipervnculo"/>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rrafode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rrafode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rrafode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rrafodelista"/>
        <w:numPr>
          <w:ilvl w:val="0"/>
          <w:numId w:val="48"/>
        </w:numPr>
      </w:pPr>
      <w:r w:rsidRPr="00F276B3">
        <w:t>Insert answers into the blank, white cells provided.</w:t>
      </w:r>
    </w:p>
    <w:p w14:paraId="4AB13ACC" w14:textId="37246AC2" w:rsidR="00E63AC5" w:rsidRDefault="00E63AC5" w:rsidP="007A24F7">
      <w:pPr>
        <w:pStyle w:val="Prrafode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rrafode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rrafode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rrafode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ipervnculo"/>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D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ipervnculo"/>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DC1"/>
        <w:tabs>
          <w:tab w:val="right" w:leader="dot" w:pos="10456"/>
        </w:tabs>
        <w:rPr>
          <w:rFonts w:eastAsiaTheme="minorEastAsia"/>
          <w:noProof/>
          <w:lang w:eastAsia="en-GB"/>
        </w:rPr>
      </w:pPr>
      <w:hyperlink w:anchor="_Toc198223601" w:history="1">
        <w:r w:rsidRPr="004B5035">
          <w:rPr>
            <w:rStyle w:val="Hipervnculo"/>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DC2"/>
        <w:tabs>
          <w:tab w:val="right" w:leader="dot" w:pos="10456"/>
        </w:tabs>
        <w:rPr>
          <w:rFonts w:eastAsiaTheme="minorEastAsia"/>
          <w:noProof/>
          <w:lang w:eastAsia="en-GB"/>
        </w:rPr>
      </w:pPr>
      <w:hyperlink w:anchor="_Toc198223602" w:history="1">
        <w:r w:rsidRPr="004B5035">
          <w:rPr>
            <w:rStyle w:val="Hipervnculo"/>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DC2"/>
        <w:tabs>
          <w:tab w:val="right" w:leader="dot" w:pos="10456"/>
        </w:tabs>
        <w:rPr>
          <w:rFonts w:eastAsiaTheme="minorEastAsia"/>
          <w:noProof/>
          <w:lang w:eastAsia="en-GB"/>
        </w:rPr>
      </w:pPr>
      <w:hyperlink w:anchor="_Toc198223603" w:history="1">
        <w:r w:rsidRPr="004B5035">
          <w:rPr>
            <w:rStyle w:val="Hipervnculo"/>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DC2"/>
        <w:tabs>
          <w:tab w:val="right" w:leader="dot" w:pos="10456"/>
        </w:tabs>
        <w:rPr>
          <w:rFonts w:eastAsiaTheme="minorEastAsia"/>
          <w:noProof/>
          <w:lang w:eastAsia="en-GB"/>
        </w:rPr>
      </w:pPr>
      <w:hyperlink w:anchor="_Toc198223604" w:history="1">
        <w:r w:rsidRPr="004B5035">
          <w:rPr>
            <w:rStyle w:val="Hipervnculo"/>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DC1"/>
        <w:tabs>
          <w:tab w:val="right" w:leader="dot" w:pos="10456"/>
        </w:tabs>
        <w:rPr>
          <w:rFonts w:eastAsiaTheme="minorEastAsia"/>
          <w:noProof/>
          <w:lang w:eastAsia="en-GB"/>
        </w:rPr>
      </w:pPr>
      <w:hyperlink w:anchor="_Toc198223605" w:history="1">
        <w:r w:rsidRPr="004B5035">
          <w:rPr>
            <w:rStyle w:val="Hipervnculo"/>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DC2"/>
        <w:tabs>
          <w:tab w:val="right" w:leader="dot" w:pos="10456"/>
        </w:tabs>
        <w:rPr>
          <w:rFonts w:eastAsiaTheme="minorEastAsia"/>
          <w:noProof/>
          <w:lang w:eastAsia="en-GB"/>
        </w:rPr>
      </w:pPr>
      <w:hyperlink w:anchor="_Toc198223606" w:history="1">
        <w:r w:rsidRPr="004B5035">
          <w:rPr>
            <w:rStyle w:val="Hipervnculo"/>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DC2"/>
        <w:tabs>
          <w:tab w:val="right" w:leader="dot" w:pos="10456"/>
        </w:tabs>
        <w:rPr>
          <w:rFonts w:eastAsiaTheme="minorEastAsia"/>
          <w:noProof/>
          <w:lang w:eastAsia="en-GB"/>
        </w:rPr>
      </w:pPr>
      <w:hyperlink w:anchor="_Toc198223607" w:history="1">
        <w:r w:rsidRPr="004B5035">
          <w:rPr>
            <w:rStyle w:val="Hipervnculo"/>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DC2"/>
        <w:tabs>
          <w:tab w:val="right" w:leader="dot" w:pos="10456"/>
        </w:tabs>
        <w:rPr>
          <w:rFonts w:eastAsiaTheme="minorEastAsia"/>
          <w:noProof/>
          <w:lang w:eastAsia="en-GB"/>
        </w:rPr>
      </w:pPr>
      <w:hyperlink w:anchor="_Toc198223608" w:history="1">
        <w:r w:rsidRPr="004B5035">
          <w:rPr>
            <w:rStyle w:val="Hipervnculo"/>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DC2"/>
        <w:tabs>
          <w:tab w:val="right" w:leader="dot" w:pos="10456"/>
        </w:tabs>
        <w:rPr>
          <w:rFonts w:eastAsiaTheme="minorEastAsia"/>
          <w:noProof/>
          <w:lang w:eastAsia="en-GB"/>
        </w:rPr>
      </w:pPr>
      <w:hyperlink w:anchor="_Toc198223609" w:history="1">
        <w:r w:rsidRPr="004B5035">
          <w:rPr>
            <w:rStyle w:val="Hipervnculo"/>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DC2"/>
        <w:tabs>
          <w:tab w:val="right" w:leader="dot" w:pos="10456"/>
        </w:tabs>
        <w:rPr>
          <w:rFonts w:eastAsiaTheme="minorEastAsia"/>
          <w:noProof/>
          <w:lang w:eastAsia="en-GB"/>
        </w:rPr>
      </w:pPr>
      <w:hyperlink w:anchor="_Toc198223610" w:history="1">
        <w:r w:rsidRPr="004B5035">
          <w:rPr>
            <w:rStyle w:val="Hipervnculo"/>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DC2"/>
        <w:tabs>
          <w:tab w:val="right" w:leader="dot" w:pos="10456"/>
        </w:tabs>
        <w:rPr>
          <w:rFonts w:eastAsiaTheme="minorEastAsia"/>
          <w:noProof/>
          <w:lang w:eastAsia="en-GB"/>
        </w:rPr>
      </w:pPr>
      <w:hyperlink w:anchor="_Toc198223611" w:history="1">
        <w:r w:rsidRPr="004B5035">
          <w:rPr>
            <w:rStyle w:val="Hipervnculo"/>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DC1"/>
        <w:tabs>
          <w:tab w:val="right" w:leader="dot" w:pos="10456"/>
        </w:tabs>
        <w:rPr>
          <w:rFonts w:eastAsiaTheme="minorEastAsia"/>
          <w:noProof/>
          <w:lang w:eastAsia="en-GB"/>
        </w:rPr>
      </w:pPr>
      <w:hyperlink w:anchor="_Toc198223612" w:history="1">
        <w:r w:rsidRPr="004B5035">
          <w:rPr>
            <w:rStyle w:val="Hipervnculo"/>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DC2"/>
        <w:tabs>
          <w:tab w:val="right" w:leader="dot" w:pos="10456"/>
        </w:tabs>
        <w:rPr>
          <w:rFonts w:eastAsiaTheme="minorEastAsia"/>
          <w:noProof/>
          <w:lang w:eastAsia="en-GB"/>
        </w:rPr>
      </w:pPr>
      <w:hyperlink w:anchor="_Toc198223613" w:history="1">
        <w:r w:rsidRPr="004B5035">
          <w:rPr>
            <w:rStyle w:val="Hipervnculo"/>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DC2"/>
        <w:tabs>
          <w:tab w:val="right" w:leader="dot" w:pos="10456"/>
        </w:tabs>
        <w:rPr>
          <w:rFonts w:eastAsiaTheme="minorEastAsia"/>
          <w:noProof/>
          <w:lang w:eastAsia="en-GB"/>
        </w:rPr>
      </w:pPr>
      <w:hyperlink w:anchor="_Toc198223614" w:history="1">
        <w:r w:rsidRPr="004B5035">
          <w:rPr>
            <w:rStyle w:val="Hipervnculo"/>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DC2"/>
        <w:tabs>
          <w:tab w:val="right" w:leader="dot" w:pos="10456"/>
        </w:tabs>
        <w:rPr>
          <w:rFonts w:eastAsiaTheme="minorEastAsia"/>
          <w:noProof/>
          <w:lang w:eastAsia="en-GB"/>
        </w:rPr>
      </w:pPr>
      <w:hyperlink w:anchor="_Toc198223615" w:history="1">
        <w:r w:rsidRPr="004B5035">
          <w:rPr>
            <w:rStyle w:val="Hipervnculo"/>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DC2"/>
        <w:tabs>
          <w:tab w:val="right" w:leader="dot" w:pos="10456"/>
        </w:tabs>
        <w:rPr>
          <w:rFonts w:eastAsiaTheme="minorEastAsia"/>
          <w:noProof/>
          <w:lang w:eastAsia="en-GB"/>
        </w:rPr>
      </w:pPr>
      <w:hyperlink w:anchor="_Toc198223616" w:history="1">
        <w:r w:rsidRPr="004B5035">
          <w:rPr>
            <w:rStyle w:val="Hipervnculo"/>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DC2"/>
        <w:tabs>
          <w:tab w:val="right" w:leader="dot" w:pos="10456"/>
        </w:tabs>
        <w:rPr>
          <w:rFonts w:eastAsiaTheme="minorEastAsia"/>
          <w:noProof/>
          <w:lang w:eastAsia="en-GB"/>
        </w:rPr>
      </w:pPr>
      <w:hyperlink w:anchor="_Toc198223617" w:history="1">
        <w:r w:rsidRPr="004B5035">
          <w:rPr>
            <w:rStyle w:val="Hipervnculo"/>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DC2"/>
        <w:tabs>
          <w:tab w:val="right" w:leader="dot" w:pos="10456"/>
        </w:tabs>
        <w:rPr>
          <w:rFonts w:eastAsiaTheme="minorEastAsia"/>
          <w:noProof/>
          <w:lang w:eastAsia="en-GB"/>
        </w:rPr>
      </w:pPr>
      <w:hyperlink w:anchor="_Toc198223618" w:history="1">
        <w:r w:rsidRPr="004B5035">
          <w:rPr>
            <w:rStyle w:val="Hipervnculo"/>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DC2"/>
        <w:tabs>
          <w:tab w:val="right" w:leader="dot" w:pos="10456"/>
        </w:tabs>
        <w:rPr>
          <w:rFonts w:eastAsiaTheme="minorEastAsia"/>
          <w:noProof/>
          <w:lang w:eastAsia="en-GB"/>
        </w:rPr>
      </w:pPr>
      <w:hyperlink w:anchor="_Toc198223619" w:history="1">
        <w:r w:rsidRPr="004B5035">
          <w:rPr>
            <w:rStyle w:val="Hipervnculo"/>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DC2"/>
        <w:tabs>
          <w:tab w:val="right" w:leader="dot" w:pos="10456"/>
        </w:tabs>
        <w:rPr>
          <w:rFonts w:eastAsiaTheme="minorEastAsia"/>
          <w:noProof/>
          <w:lang w:eastAsia="en-GB"/>
        </w:rPr>
      </w:pPr>
      <w:hyperlink w:anchor="_Toc198223620" w:history="1">
        <w:r w:rsidRPr="004B5035">
          <w:rPr>
            <w:rStyle w:val="Hipervnculo"/>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DC2"/>
        <w:tabs>
          <w:tab w:val="right" w:leader="dot" w:pos="10456"/>
        </w:tabs>
        <w:rPr>
          <w:rFonts w:eastAsiaTheme="minorEastAsia"/>
          <w:noProof/>
          <w:lang w:eastAsia="en-GB"/>
        </w:rPr>
      </w:pPr>
      <w:hyperlink w:anchor="_Toc198223621" w:history="1">
        <w:r w:rsidRPr="004B5035">
          <w:rPr>
            <w:rStyle w:val="Hipervnculo"/>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DC1"/>
        <w:tabs>
          <w:tab w:val="right" w:leader="dot" w:pos="10456"/>
        </w:tabs>
        <w:rPr>
          <w:rFonts w:eastAsiaTheme="minorEastAsia"/>
          <w:noProof/>
          <w:lang w:eastAsia="en-GB"/>
        </w:rPr>
      </w:pPr>
      <w:hyperlink w:anchor="_Toc198223622" w:history="1">
        <w:r w:rsidRPr="004B5035">
          <w:rPr>
            <w:rStyle w:val="Hipervnculo"/>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DC2"/>
        <w:tabs>
          <w:tab w:val="right" w:leader="dot" w:pos="10456"/>
        </w:tabs>
        <w:rPr>
          <w:rFonts w:eastAsiaTheme="minorEastAsia"/>
          <w:noProof/>
          <w:lang w:eastAsia="en-GB"/>
        </w:rPr>
      </w:pPr>
      <w:hyperlink w:anchor="_Toc198223623" w:history="1">
        <w:r w:rsidRPr="004B5035">
          <w:rPr>
            <w:rStyle w:val="Hipervnculo"/>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DC2"/>
        <w:tabs>
          <w:tab w:val="right" w:leader="dot" w:pos="10456"/>
        </w:tabs>
        <w:rPr>
          <w:rFonts w:eastAsiaTheme="minorEastAsia"/>
          <w:noProof/>
          <w:lang w:eastAsia="en-GB"/>
        </w:rPr>
      </w:pPr>
      <w:hyperlink w:anchor="_Toc198223624" w:history="1">
        <w:r w:rsidRPr="004B5035">
          <w:rPr>
            <w:rStyle w:val="Hipervnculo"/>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DC2"/>
        <w:tabs>
          <w:tab w:val="right" w:leader="dot" w:pos="10456"/>
        </w:tabs>
        <w:rPr>
          <w:rFonts w:eastAsiaTheme="minorEastAsia"/>
          <w:noProof/>
          <w:lang w:eastAsia="en-GB"/>
        </w:rPr>
      </w:pPr>
      <w:hyperlink w:anchor="_Toc198223625" w:history="1">
        <w:r w:rsidRPr="004B5035">
          <w:rPr>
            <w:rStyle w:val="Hipervnculo"/>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DC2"/>
        <w:tabs>
          <w:tab w:val="right" w:leader="dot" w:pos="10456"/>
        </w:tabs>
        <w:rPr>
          <w:rFonts w:eastAsiaTheme="minorEastAsia"/>
          <w:noProof/>
          <w:lang w:eastAsia="en-GB"/>
        </w:rPr>
      </w:pPr>
      <w:hyperlink w:anchor="_Toc198223626" w:history="1">
        <w:r w:rsidRPr="004B5035">
          <w:rPr>
            <w:rStyle w:val="Hipervnculo"/>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DC3"/>
        <w:tabs>
          <w:tab w:val="right" w:leader="dot" w:pos="10456"/>
        </w:tabs>
        <w:rPr>
          <w:rFonts w:eastAsiaTheme="minorEastAsia"/>
          <w:noProof/>
          <w:lang w:eastAsia="en-GB"/>
        </w:rPr>
      </w:pPr>
      <w:hyperlink w:anchor="_Toc198223627" w:history="1">
        <w:r w:rsidRPr="004B5035">
          <w:rPr>
            <w:rStyle w:val="Hipervnculo"/>
            <w:noProof/>
          </w:rPr>
          <w:t>Section 4.4.1: Criteria for Carbon Credits Generation and/or Eligibility</w:t>
        </w:r>
        <w:r w:rsidRPr="004B5035">
          <w:rPr>
            <w:rStyle w:val="Hipervnculo"/>
            <w:noProof/>
            <w:lang w:val="en-US"/>
          </w:rPr>
          <w:t> </w:t>
        </w:r>
        <w:r w:rsidRPr="004B5035">
          <w:rPr>
            <w:rStyle w:val="Hipervnculo"/>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DC3"/>
        <w:tabs>
          <w:tab w:val="right" w:leader="dot" w:pos="10456"/>
        </w:tabs>
        <w:rPr>
          <w:rFonts w:eastAsiaTheme="minorEastAsia"/>
          <w:noProof/>
          <w:lang w:eastAsia="en-GB"/>
        </w:rPr>
      </w:pPr>
      <w:hyperlink w:anchor="_Toc198223628" w:history="1">
        <w:r w:rsidRPr="004B5035">
          <w:rPr>
            <w:rStyle w:val="Hipervnculo"/>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DC3"/>
        <w:tabs>
          <w:tab w:val="right" w:leader="dot" w:pos="10456"/>
        </w:tabs>
        <w:rPr>
          <w:rFonts w:eastAsiaTheme="minorEastAsia"/>
          <w:noProof/>
          <w:lang w:eastAsia="en-GB"/>
        </w:rPr>
      </w:pPr>
      <w:hyperlink w:anchor="_Toc198223629" w:history="1">
        <w:r w:rsidRPr="004B5035">
          <w:rPr>
            <w:rStyle w:val="Hipervnculo"/>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DC3"/>
        <w:tabs>
          <w:tab w:val="right" w:leader="dot" w:pos="10456"/>
        </w:tabs>
        <w:rPr>
          <w:rFonts w:eastAsiaTheme="minorEastAsia"/>
          <w:noProof/>
          <w:lang w:eastAsia="en-GB"/>
        </w:rPr>
      </w:pPr>
      <w:hyperlink w:anchor="_Toc198223630" w:history="1">
        <w:r w:rsidRPr="004B5035">
          <w:rPr>
            <w:rStyle w:val="Hipervnculo"/>
            <w:rFonts w:eastAsia="Times New Roman"/>
            <w:noProof/>
            <w:lang w:eastAsia="en-GB"/>
          </w:rPr>
          <w:t xml:space="preserve">Section </w:t>
        </w:r>
        <w:r w:rsidRPr="004B5035">
          <w:rPr>
            <w:rStyle w:val="Hipervnculo"/>
            <w:noProof/>
            <w:lang w:eastAsia="en-GB"/>
          </w:rPr>
          <w:t>4</w:t>
        </w:r>
        <w:r w:rsidRPr="004B5035">
          <w:rPr>
            <w:rStyle w:val="Hipervnculo"/>
            <w:rFonts w:eastAsia="Times New Roman"/>
            <w:noProof/>
            <w:lang w:eastAsia="en-GB"/>
          </w:rPr>
          <w:t>.4.4: Exchange of Carbon Credits as a Financial Instrument</w:t>
        </w:r>
        <w:r w:rsidRPr="004B5035">
          <w:rPr>
            <w:rStyle w:val="Hipervnculo"/>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DC1"/>
        <w:tabs>
          <w:tab w:val="right" w:leader="dot" w:pos="10456"/>
        </w:tabs>
        <w:rPr>
          <w:rFonts w:eastAsiaTheme="minorEastAsia"/>
          <w:noProof/>
          <w:lang w:eastAsia="en-GB"/>
        </w:rPr>
      </w:pPr>
      <w:hyperlink w:anchor="_Toc198223631" w:history="1">
        <w:r w:rsidRPr="004B5035">
          <w:rPr>
            <w:rStyle w:val="Hipervnculo"/>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DC2"/>
        <w:tabs>
          <w:tab w:val="right" w:leader="dot" w:pos="10456"/>
        </w:tabs>
        <w:rPr>
          <w:rFonts w:eastAsiaTheme="minorEastAsia"/>
          <w:noProof/>
          <w:lang w:eastAsia="en-GB"/>
        </w:rPr>
      </w:pPr>
      <w:hyperlink w:anchor="_Toc198223632" w:history="1">
        <w:r w:rsidRPr="004B5035">
          <w:rPr>
            <w:rStyle w:val="Hipervnculo"/>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DC2"/>
        <w:tabs>
          <w:tab w:val="right" w:leader="dot" w:pos="10456"/>
        </w:tabs>
        <w:rPr>
          <w:rFonts w:eastAsiaTheme="minorEastAsia"/>
          <w:noProof/>
          <w:lang w:eastAsia="en-GB"/>
        </w:rPr>
      </w:pPr>
      <w:hyperlink w:anchor="_Toc198223633" w:history="1">
        <w:r w:rsidRPr="004B5035">
          <w:rPr>
            <w:rStyle w:val="Hipervnculo"/>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DC3"/>
        <w:tabs>
          <w:tab w:val="right" w:leader="dot" w:pos="10456"/>
        </w:tabs>
        <w:rPr>
          <w:rFonts w:eastAsiaTheme="minorEastAsia"/>
          <w:noProof/>
          <w:lang w:eastAsia="en-GB"/>
        </w:rPr>
      </w:pPr>
      <w:hyperlink w:anchor="_Toc198223634" w:history="1">
        <w:r w:rsidRPr="004B5035">
          <w:rPr>
            <w:rStyle w:val="Hipervnculo"/>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DC3"/>
        <w:tabs>
          <w:tab w:val="right" w:leader="dot" w:pos="10456"/>
        </w:tabs>
        <w:rPr>
          <w:rFonts w:eastAsiaTheme="minorEastAsia"/>
          <w:noProof/>
          <w:lang w:eastAsia="en-GB"/>
        </w:rPr>
      </w:pPr>
      <w:hyperlink w:anchor="_Toc198223635" w:history="1">
        <w:r w:rsidRPr="004B5035">
          <w:rPr>
            <w:rStyle w:val="Hipervnculo"/>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DC3"/>
        <w:tabs>
          <w:tab w:val="right" w:leader="dot" w:pos="10456"/>
        </w:tabs>
        <w:rPr>
          <w:rFonts w:eastAsiaTheme="minorEastAsia"/>
          <w:noProof/>
          <w:lang w:eastAsia="en-GB"/>
        </w:rPr>
      </w:pPr>
      <w:hyperlink w:anchor="_Toc198223636" w:history="1">
        <w:r w:rsidRPr="004B5035">
          <w:rPr>
            <w:rStyle w:val="Hipervnculo"/>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DC2"/>
        <w:tabs>
          <w:tab w:val="right" w:leader="dot" w:pos="10456"/>
        </w:tabs>
        <w:rPr>
          <w:rFonts w:eastAsiaTheme="minorEastAsia"/>
          <w:noProof/>
          <w:lang w:eastAsia="en-GB"/>
        </w:rPr>
      </w:pPr>
      <w:hyperlink w:anchor="_Toc198223637" w:history="1">
        <w:r w:rsidRPr="004B5035">
          <w:rPr>
            <w:rStyle w:val="Hipervnculo"/>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DC1"/>
        <w:tabs>
          <w:tab w:val="right" w:leader="dot" w:pos="10456"/>
        </w:tabs>
        <w:rPr>
          <w:rFonts w:eastAsiaTheme="minorEastAsia"/>
          <w:noProof/>
          <w:lang w:eastAsia="en-GB"/>
        </w:rPr>
      </w:pPr>
      <w:hyperlink w:anchor="_Toc198223638" w:history="1">
        <w:r w:rsidRPr="004B5035">
          <w:rPr>
            <w:rStyle w:val="Hipervnculo"/>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DC2"/>
        <w:tabs>
          <w:tab w:val="right" w:leader="dot" w:pos="10456"/>
        </w:tabs>
        <w:rPr>
          <w:rFonts w:eastAsiaTheme="minorEastAsia"/>
          <w:noProof/>
          <w:lang w:eastAsia="en-GB"/>
        </w:rPr>
      </w:pPr>
      <w:hyperlink w:anchor="_Toc198223639" w:history="1">
        <w:r w:rsidRPr="004B5035">
          <w:rPr>
            <w:rStyle w:val="Hipervnculo"/>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DC2"/>
        <w:tabs>
          <w:tab w:val="right" w:leader="dot" w:pos="10456"/>
        </w:tabs>
        <w:rPr>
          <w:rFonts w:eastAsiaTheme="minorEastAsia"/>
          <w:noProof/>
          <w:lang w:eastAsia="en-GB"/>
        </w:rPr>
      </w:pPr>
      <w:hyperlink w:anchor="_Toc198223640" w:history="1">
        <w:r w:rsidRPr="004B5035">
          <w:rPr>
            <w:rStyle w:val="Hipervnculo"/>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DC2"/>
        <w:tabs>
          <w:tab w:val="right" w:leader="dot" w:pos="10456"/>
        </w:tabs>
        <w:rPr>
          <w:rFonts w:eastAsiaTheme="minorEastAsia"/>
          <w:noProof/>
          <w:lang w:eastAsia="en-GB"/>
        </w:rPr>
      </w:pPr>
      <w:hyperlink w:anchor="_Toc198223641" w:history="1">
        <w:r w:rsidRPr="004B5035">
          <w:rPr>
            <w:rStyle w:val="Hipervnculo"/>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DC2"/>
        <w:tabs>
          <w:tab w:val="right" w:leader="dot" w:pos="10456"/>
        </w:tabs>
        <w:rPr>
          <w:rFonts w:eastAsiaTheme="minorEastAsia"/>
          <w:noProof/>
          <w:lang w:eastAsia="en-GB"/>
        </w:rPr>
      </w:pPr>
      <w:hyperlink w:anchor="_Toc198223642" w:history="1">
        <w:r w:rsidRPr="004B5035">
          <w:rPr>
            <w:rStyle w:val="Hipervnculo"/>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DC3"/>
        <w:tabs>
          <w:tab w:val="right" w:leader="dot" w:pos="10456"/>
        </w:tabs>
        <w:rPr>
          <w:rFonts w:eastAsiaTheme="minorEastAsia"/>
          <w:noProof/>
          <w:lang w:eastAsia="en-GB"/>
        </w:rPr>
      </w:pPr>
      <w:hyperlink w:anchor="_Toc198223643" w:history="1">
        <w:r w:rsidRPr="004B5035">
          <w:rPr>
            <w:rStyle w:val="Hipervnculo"/>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DC3"/>
        <w:tabs>
          <w:tab w:val="right" w:leader="dot" w:pos="10456"/>
        </w:tabs>
        <w:rPr>
          <w:rFonts w:eastAsiaTheme="minorEastAsia"/>
          <w:noProof/>
          <w:lang w:eastAsia="en-GB"/>
        </w:rPr>
      </w:pPr>
      <w:hyperlink w:anchor="_Toc198223644" w:history="1">
        <w:r w:rsidRPr="004B5035">
          <w:rPr>
            <w:rStyle w:val="Hipervnculo"/>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DC3"/>
        <w:tabs>
          <w:tab w:val="right" w:leader="dot" w:pos="10456"/>
        </w:tabs>
        <w:rPr>
          <w:rFonts w:eastAsiaTheme="minorEastAsia"/>
          <w:noProof/>
          <w:lang w:eastAsia="en-GB"/>
        </w:rPr>
      </w:pPr>
      <w:hyperlink w:anchor="_Toc198223645" w:history="1">
        <w:r w:rsidRPr="004B5035">
          <w:rPr>
            <w:rStyle w:val="Hipervnculo"/>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DC2"/>
        <w:tabs>
          <w:tab w:val="right" w:leader="dot" w:pos="10456"/>
        </w:tabs>
        <w:rPr>
          <w:rFonts w:eastAsiaTheme="minorEastAsia"/>
          <w:noProof/>
          <w:lang w:eastAsia="en-GB"/>
        </w:rPr>
      </w:pPr>
      <w:hyperlink w:anchor="_Toc198223646" w:history="1">
        <w:r w:rsidRPr="004B5035">
          <w:rPr>
            <w:rStyle w:val="Hipervnculo"/>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D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laconcuadrcula"/>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4A33053" w:rsidR="00093CA9" w:rsidRDefault="007D7345" w:rsidP="00093CA9">
            <w:r>
              <w:t>Eelaw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5CE5978" w:rsidR="00093CA9" w:rsidRDefault="007D7345" w:rsidP="00093CA9">
            <w:r>
              <w:t>Chile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6E1CDB"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883E09C" w:rsidR="00093CA9" w:rsidRPr="006E1CDB" w:rsidRDefault="00C0397A" w:rsidP="00093CA9">
            <w:pPr>
              <w:rPr>
                <w:lang w:val="es-CL"/>
              </w:rPr>
            </w:pPr>
            <w:proofErr w:type="spellStart"/>
            <w:r w:rsidRPr="006E1CDB">
              <w:rPr>
                <w:lang w:val="es-CL"/>
              </w:rPr>
              <w:t>Financial</w:t>
            </w:r>
            <w:proofErr w:type="spellEnd"/>
            <w:r w:rsidRPr="006E1CDB">
              <w:rPr>
                <w:lang w:val="es-CL"/>
              </w:rPr>
              <w:t xml:space="preserve"> </w:t>
            </w:r>
            <w:proofErr w:type="spellStart"/>
            <w:r w:rsidRPr="006E1CDB">
              <w:rPr>
                <w:lang w:val="es-CL"/>
              </w:rPr>
              <w:t>Market</w:t>
            </w:r>
            <w:proofErr w:type="spellEnd"/>
            <w:r w:rsidRPr="006E1CDB">
              <w:rPr>
                <w:lang w:val="es-CL"/>
              </w:rPr>
              <w:t xml:space="preserve"> </w:t>
            </w:r>
            <w:proofErr w:type="spellStart"/>
            <w:r w:rsidRPr="006E1CDB">
              <w:rPr>
                <w:lang w:val="es-CL"/>
              </w:rPr>
              <w:t>Commission</w:t>
            </w:r>
            <w:proofErr w:type="spellEnd"/>
            <w:r w:rsidRPr="006E1CDB">
              <w:rPr>
                <w:lang w:val="es-CL"/>
              </w:rPr>
              <w:t> </w:t>
            </w:r>
            <w:proofErr w:type="spellStart"/>
            <w:r w:rsidRPr="006E1CDB">
              <w:rPr>
                <w:lang w:val="es-CL"/>
              </w:rPr>
              <w:t>Strategy</w:t>
            </w:r>
            <w:proofErr w:type="spellEnd"/>
            <w:r w:rsidRPr="006E1CDB">
              <w:rPr>
                <w:lang w:val="es-CL"/>
              </w:rPr>
              <w:t xml:space="preserve"> </w:t>
            </w:r>
            <w:proofErr w:type="spellStart"/>
            <w:r w:rsidRPr="006E1CDB">
              <w:rPr>
                <w:lang w:val="es-CL"/>
              </w:rPr>
              <w:t>to</w:t>
            </w:r>
            <w:proofErr w:type="spellEnd"/>
            <w:r w:rsidRPr="006E1CDB">
              <w:rPr>
                <w:lang w:val="es-CL"/>
              </w:rPr>
              <w:t xml:space="preserve"> </w:t>
            </w:r>
            <w:proofErr w:type="spellStart"/>
            <w:r w:rsidRPr="006E1CDB">
              <w:rPr>
                <w:lang w:val="es-CL"/>
              </w:rPr>
              <w:t>Address</w:t>
            </w:r>
            <w:proofErr w:type="spellEnd"/>
            <w:r w:rsidRPr="006E1CDB">
              <w:rPr>
                <w:lang w:val="es-CL"/>
              </w:rPr>
              <w:t xml:space="preserve"> </w:t>
            </w:r>
            <w:proofErr w:type="spellStart"/>
            <w:r w:rsidRPr="006E1CDB">
              <w:rPr>
                <w:lang w:val="es-CL"/>
              </w:rPr>
              <w:t>Climate</w:t>
            </w:r>
            <w:proofErr w:type="spellEnd"/>
            <w:r w:rsidRPr="006E1CDB">
              <w:rPr>
                <w:lang w:val="es-CL"/>
              </w:rPr>
              <w:t xml:space="preserve"> Change in </w:t>
            </w:r>
            <w:proofErr w:type="spellStart"/>
            <w:r w:rsidRPr="006E1CDB">
              <w:rPr>
                <w:lang w:val="es-CL"/>
              </w:rPr>
              <w:t>Financial</w:t>
            </w:r>
            <w:proofErr w:type="spellEnd"/>
            <w:r w:rsidRPr="006E1CDB">
              <w:rPr>
                <w:lang w:val="es-CL"/>
              </w:rPr>
              <w:t xml:space="preserve"> </w:t>
            </w:r>
            <w:proofErr w:type="spellStart"/>
            <w:r w:rsidRPr="006E1CDB">
              <w:rPr>
                <w:lang w:val="es-CL"/>
              </w:rPr>
              <w:t>Markets</w:t>
            </w:r>
            <w:proofErr w:type="spellEnd"/>
            <w:r w:rsidRPr="006E1CDB">
              <w:rPr>
                <w:lang w:val="es-CL"/>
              </w:rPr>
              <w:t xml:space="preserve"> (Estrategia de la Comisión para el Mercado Financiero para enfrentar el cambio climático)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23A1333" w14:textId="77777777" w:rsidR="00093CA9" w:rsidRDefault="006E1CDB" w:rsidP="00093CA9">
            <w:hyperlink r:id="rId17" w:history="1">
              <w:r w:rsidRPr="008F5CEA">
                <w:rPr>
                  <w:rStyle w:val="Hipervnculo"/>
                </w:rPr>
                <w:t>https://www.cmfchile.cl/portal/principal/613/articles-29872_informe_doc.pdf</w:t>
              </w:r>
            </w:hyperlink>
            <w:r>
              <w:t xml:space="preserve"> </w:t>
            </w:r>
          </w:p>
          <w:p w14:paraId="1523C232" w14:textId="3D22D967" w:rsidR="005A77C9" w:rsidRDefault="005A77C9" w:rsidP="00093CA9">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E425609" w:rsidR="00093CA9" w:rsidRDefault="007D7345"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64CB1E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57513CE9" w:rsidR="00093CA9" w:rsidRDefault="00C0397A"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169D5A6A" w:rsidR="00093CA9" w:rsidRDefault="004E6F78" w:rsidP="00093CA9">
            <w:r w:rsidRPr="004E6F78">
              <w:t>The Financial Market Commission's (FMC) strategy to address climate change focuses on three main pillars: promoting the disclosure of information on climate risks, integrating these risks into the financial system's risk management, and fostering the development of a green financial market. The CMF seeks to align financial flows with the country's climate commitments and ensure financial market stability in the face of climate change-related risks.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C94FD4B" w:rsidR="00093CA9" w:rsidRDefault="004E6F78" w:rsidP="00093CA9">
            <w:r>
              <w:t>2020</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2ACCE0A" w:rsidR="00093CA9" w:rsidRPr="00173D7C" w:rsidRDefault="004E6F78"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E8A568E" w:rsidR="00093CA9" w:rsidRDefault="000A1CC0" w:rsidP="00093CA9">
            <w:r>
              <w:t>Financial Commission Market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2005096" w:rsidR="00093CA9" w:rsidRPr="006B7B0D" w:rsidRDefault="008C1A7F" w:rsidP="00093CA9">
            <w:r w:rsidRPr="008C1A7F">
              <w:t>Financial Commission Market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12072F1" w:rsidR="00093CA9" w:rsidRPr="006B7B0D" w:rsidRDefault="008C1A7F"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7321049" w:rsidR="00093CA9" w:rsidRDefault="00C85865"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1BB73664" w:rsidR="00093CA9" w:rsidRPr="008017F9" w:rsidRDefault="00ED4936" w:rsidP="00093CA9">
            <w:pPr>
              <w:keepNext/>
              <w:rPr>
                <w:color w:val="000000" w:themeColor="text1"/>
              </w:rPr>
            </w:pPr>
            <w:r>
              <w:rPr>
                <w:color w:val="000000" w:themeColor="text1"/>
              </w:rPr>
              <w:t xml:space="preserve">The CMF </w:t>
            </w:r>
            <w:r w:rsidRPr="00ED4936">
              <w:rPr>
                <w:color w:val="000000" w:themeColor="text1"/>
              </w:rPr>
              <w:t>has established a strategy to address climate change that includes a monitoring and information disclosure system, the integration of climate risks into prudential supervision, and the promotion of a green financial market. The main objective is to generate relevant information, promote climate risk management and facilitate the financing of sustainable projects.</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laconcuadrcula"/>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5CD7D93A"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5FB55F02" w:rsidR="00CF5268" w:rsidRDefault="00273F67"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4DAB9722" w:rsidR="00CF5268" w:rsidRDefault="00F01920"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34D3CCE4" w:rsidR="00CF5268" w:rsidRDefault="00CF5268" w:rsidP="00DD3144"/>
        </w:tc>
        <w:tc>
          <w:tcPr>
            <w:tcW w:w="1447" w:type="dxa"/>
            <w:vAlign w:val="center"/>
          </w:tcPr>
          <w:p w14:paraId="568957B7" w14:textId="3C681E6B" w:rsidR="00CF5268" w:rsidRDefault="00273F67"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7018272F" w:rsidR="00CF5268" w:rsidRDefault="00F01920"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69A41C46" w:rsidR="00CF5268" w:rsidRDefault="00F01920"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7DDA057" w:rsidR="466E435B" w:rsidRDefault="00F01920"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A2A0264" w:rsidR="00CF5268" w:rsidRDefault="00BC5259"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68AAB3AE" w:rsidR="466E435B" w:rsidRDefault="00BC5259"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77BC15FD" w:rsidR="466E435B" w:rsidRDefault="00BC5259"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05A48DD0" w:rsidR="466E435B" w:rsidRDefault="00BC5259"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14E124A1" w:rsidR="466E435B" w:rsidRDefault="00BC5259"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028295C7" w:rsidR="00273F67" w:rsidRDefault="00273F67" w:rsidP="00DD3144"/>
        </w:tc>
        <w:tc>
          <w:tcPr>
            <w:tcW w:w="1447" w:type="dxa"/>
            <w:vAlign w:val="center"/>
          </w:tcPr>
          <w:p w14:paraId="65791BCC" w14:textId="66B89C47" w:rsidR="00CF5268" w:rsidRDefault="00273F67" w:rsidP="00DD3144">
            <w:r>
              <w:t>X</w:t>
            </w:r>
          </w:p>
        </w:tc>
        <w:tc>
          <w:tcPr>
            <w:tcW w:w="1447" w:type="dxa"/>
            <w:vAlign w:val="center"/>
          </w:tcPr>
          <w:p w14:paraId="3EF422E2" w14:textId="02A90D5A"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68FB4C5B" w:rsidR="00CF5268" w:rsidRDefault="00BC5259"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3BC6DCA3" w:rsidR="004B2D74" w:rsidRDefault="004B2D74" w:rsidP="00DD3144"/>
        </w:tc>
        <w:tc>
          <w:tcPr>
            <w:tcW w:w="1447" w:type="dxa"/>
            <w:vAlign w:val="center"/>
          </w:tcPr>
          <w:p w14:paraId="39B51900" w14:textId="53503758" w:rsidR="004B2D74" w:rsidRDefault="00273F67"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016F521" w:rsidR="004B2D74" w:rsidRDefault="004B2D74" w:rsidP="00DD3144"/>
        </w:tc>
        <w:tc>
          <w:tcPr>
            <w:tcW w:w="1447" w:type="dxa"/>
            <w:vAlign w:val="center"/>
          </w:tcPr>
          <w:p w14:paraId="598CCB17" w14:textId="47681CDC" w:rsidR="004B2D74" w:rsidRDefault="00273F67" w:rsidP="00DD3144">
            <w:r>
              <w:t>X</w:t>
            </w:r>
          </w:p>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0AB22A8C" w:rsidR="004B2D74" w:rsidRDefault="004B2D74" w:rsidP="00DD3144"/>
        </w:tc>
        <w:tc>
          <w:tcPr>
            <w:tcW w:w="1447" w:type="dxa"/>
            <w:vAlign w:val="center"/>
          </w:tcPr>
          <w:p w14:paraId="5C009F2B" w14:textId="0028015D" w:rsidR="004B2D74" w:rsidRDefault="00273F67"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A4380D3" w:rsidR="004B2D74" w:rsidRDefault="004B2D74" w:rsidP="00DD3144"/>
        </w:tc>
        <w:tc>
          <w:tcPr>
            <w:tcW w:w="1447" w:type="dxa"/>
            <w:vAlign w:val="center"/>
          </w:tcPr>
          <w:p w14:paraId="33BBF79C" w14:textId="19C8ED4F" w:rsidR="004B2D74" w:rsidRDefault="00273F67"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5F10D042" w:rsidR="004B2D74" w:rsidRDefault="00FE43C5"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F3DA081" w:rsidR="004B2D74" w:rsidRDefault="004B2D74" w:rsidP="00DD3144"/>
        </w:tc>
        <w:tc>
          <w:tcPr>
            <w:tcW w:w="1447" w:type="dxa"/>
            <w:vAlign w:val="center"/>
          </w:tcPr>
          <w:p w14:paraId="2D9BB3C0" w14:textId="4C449CBB" w:rsidR="004B2D74" w:rsidRDefault="00273F67" w:rsidP="00DD3144">
            <w:r>
              <w:t>X</w:t>
            </w:r>
          </w:p>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236B7547" w:rsidR="00C35794" w:rsidRDefault="008827C3" w:rsidP="00DD3144">
            <w:r w:rsidRPr="008827C3">
              <w:t>The strategy focuses on entities supervised by the CMF, such as banks, insurance companies, issuers of publicly offered securities, general fund managers and stock exchanges.</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7712DAC7" w:rsidR="00B536E6" w:rsidRDefault="00FE724E" w:rsidP="00DD3144">
            <w:r>
              <w:t>X</w:t>
            </w:r>
          </w:p>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296006E5" w:rsidR="00B536E6" w:rsidRDefault="00FE724E"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63F549BE" w:rsidR="00B536E6" w:rsidRDefault="00FE724E" w:rsidP="00DD3144">
            <w:r>
              <w:t>X</w:t>
            </w:r>
          </w:p>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541AF3F6" w:rsidR="00B536E6" w:rsidRDefault="00FE724E" w:rsidP="00DD3144">
            <w:r>
              <w:t>X</w:t>
            </w:r>
          </w:p>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290DFA76" w:rsidR="00B536E6" w:rsidRDefault="00FE724E"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184E4F65" w:rsidR="00B536E6" w:rsidRDefault="00FE724E"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0F4896F5" w:rsidR="00B536E6" w:rsidRDefault="00FE724E"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6ED3F07F" w:rsidR="00B536E6" w:rsidRDefault="00FE724E" w:rsidP="00DD3144">
            <w:r>
              <w:t>X</w:t>
            </w:r>
          </w:p>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53BE1A84" w:rsidR="00B536E6" w:rsidRDefault="00FE724E"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lastRenderedPageBreak/>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3F0C26D3" w:rsidR="00B536E6" w:rsidRDefault="00FE724E"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570B378C" w:rsidR="00B536E6" w:rsidRDefault="00B536E6" w:rsidP="00DD3144"/>
        </w:tc>
        <w:tc>
          <w:tcPr>
            <w:tcW w:w="1447" w:type="dxa"/>
            <w:vAlign w:val="center"/>
          </w:tcPr>
          <w:p w14:paraId="111A676F" w14:textId="645EE9FF" w:rsidR="00B536E6" w:rsidRDefault="00273F67" w:rsidP="00DD3144">
            <w:r>
              <w:t>X</w:t>
            </w:r>
          </w:p>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63F067D" w:rsidR="00B536E6" w:rsidRDefault="00FE724E"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1AE8CA12" w:rsidR="00B536E6" w:rsidRDefault="00FE724E"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F9CD427" w:rsidR="00B536E6" w:rsidRDefault="00FE724E"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6E83BE2C" w:rsidR="00B536E6" w:rsidRDefault="00FE724E"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4F238E4D" w:rsidR="00B536E6" w:rsidRDefault="00FE724E"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2217049A" w:rsidR="00B536E6" w:rsidRDefault="00FE724E"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68185F9C" w:rsidR="00B536E6" w:rsidRDefault="00FE724E"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0A18D172" w:rsidR="00B536E6" w:rsidRDefault="00FE724E"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7527B9DC" w:rsidR="00B536E6" w:rsidRDefault="00FE724E"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01216A6" w:rsidR="00B536E6" w:rsidRDefault="00FE724E"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20FB9D2C" w:rsidR="00B536E6" w:rsidRDefault="00FE724E"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042255E5" w:rsidR="0039223F" w:rsidRDefault="00853563" w:rsidP="00DD3144">
            <w:r w:rsidRPr="00853563">
              <w:t>The strategy focuses on entities supervised by the CMF, such as banks, insurance companies, issuers of publicly offered securities, general fund managers and stock exchanges.</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B4ED4E8" w:rsidR="00576ED8" w:rsidRDefault="00A077B4"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0CE32DEE"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0A44CFC3"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34E4527"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265BEE2" w:rsidR="00911F20" w:rsidRDefault="009C5632"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5EEF4A59" w:rsidR="009C4798" w:rsidRDefault="001714F2" w:rsidP="00DD3144">
            <w:r>
              <w:t>T</w:t>
            </w:r>
            <w:r w:rsidRPr="001714F2">
              <w:t>here are penalties for non-compliance with the rules derived from the CPM Strategy, when these are formalized in mandatory regulations (as general rules).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6532AF3E" w:rsidR="00C57511" w:rsidRPr="00FA0CF8" w:rsidRDefault="00A87467"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19218655" w14:textId="69F40F74" w:rsidR="005A5D1C" w:rsidRPr="005A5D1C" w:rsidRDefault="005A5D1C" w:rsidP="005A5D1C">
            <w:pPr>
              <w:rPr>
                <w:rFonts w:ascii="Calibri" w:hAnsi="Calibri" w:cs="Calibri"/>
              </w:rPr>
            </w:pPr>
            <w:r w:rsidRPr="005A5D1C">
              <w:rPr>
                <w:rFonts w:ascii="Calibri" w:hAnsi="Calibri" w:cs="Calibri"/>
              </w:rPr>
              <w:t>Evidence of Implementation in the Strategy:</w:t>
            </w:r>
          </w:p>
          <w:p w14:paraId="33DB8552" w14:textId="41475E29" w:rsidR="005A5D1C" w:rsidRPr="005A5D1C" w:rsidRDefault="005A5D1C" w:rsidP="005A5D1C">
            <w:pPr>
              <w:rPr>
                <w:rFonts w:ascii="Calibri" w:hAnsi="Calibri" w:cs="Calibri"/>
              </w:rPr>
            </w:pPr>
            <w:r w:rsidRPr="005A5D1C">
              <w:rPr>
                <w:rFonts w:ascii="Calibri" w:hAnsi="Calibri" w:cs="Calibri"/>
              </w:rPr>
              <w:t>1. Explicit Timeline for Actions:</w:t>
            </w:r>
            <w:r>
              <w:rPr>
                <w:rFonts w:ascii="Calibri" w:hAnsi="Calibri" w:cs="Calibri"/>
              </w:rPr>
              <w:t xml:space="preserve"> </w:t>
            </w:r>
            <w:r w:rsidRPr="005A5D1C">
              <w:rPr>
                <w:rFonts w:ascii="Calibri" w:hAnsi="Calibri" w:cs="Calibri"/>
              </w:rPr>
              <w:t>The strategy includes a phased implementation plan with short, medium, and long-term goals (p. 7–9).</w:t>
            </w:r>
            <w:r>
              <w:rPr>
                <w:rFonts w:ascii="Calibri" w:hAnsi="Calibri" w:cs="Calibri"/>
              </w:rPr>
              <w:t xml:space="preserve"> </w:t>
            </w:r>
            <w:r w:rsidRPr="005A5D1C">
              <w:rPr>
                <w:rFonts w:ascii="Calibri" w:hAnsi="Calibri" w:cs="Calibri"/>
              </w:rPr>
              <w:t>For example:</w:t>
            </w:r>
          </w:p>
          <w:p w14:paraId="0796662C" w14:textId="77777777" w:rsidR="005A5D1C" w:rsidRPr="005A5D1C" w:rsidRDefault="005A5D1C" w:rsidP="005A5D1C">
            <w:pPr>
              <w:pStyle w:val="Prrafodelista"/>
              <w:numPr>
                <w:ilvl w:val="0"/>
                <w:numId w:val="49"/>
              </w:numPr>
              <w:rPr>
                <w:rFonts w:ascii="Calibri" w:hAnsi="Calibri" w:cs="Calibri"/>
              </w:rPr>
            </w:pPr>
            <w:r w:rsidRPr="005A5D1C">
              <w:rPr>
                <w:rFonts w:ascii="Calibri" w:hAnsi="Calibri" w:cs="Calibri"/>
              </w:rPr>
              <w:t>Short-term (2020–2021): Training internal teams, gathering information from supervised entities.</w:t>
            </w:r>
          </w:p>
          <w:p w14:paraId="2FDA4F1F" w14:textId="77777777" w:rsidR="005A5D1C" w:rsidRPr="005A5D1C" w:rsidRDefault="005A5D1C" w:rsidP="005A5D1C">
            <w:pPr>
              <w:pStyle w:val="Prrafodelista"/>
              <w:numPr>
                <w:ilvl w:val="0"/>
                <w:numId w:val="49"/>
              </w:numPr>
              <w:rPr>
                <w:rFonts w:ascii="Calibri" w:hAnsi="Calibri" w:cs="Calibri"/>
              </w:rPr>
            </w:pPr>
            <w:r w:rsidRPr="005A5D1C">
              <w:rPr>
                <w:rFonts w:ascii="Calibri" w:hAnsi="Calibri" w:cs="Calibri"/>
              </w:rPr>
              <w:t>Medium-term (2021–2024): Incorporating climate risks into supervision and promoting disclosure.</w:t>
            </w:r>
          </w:p>
          <w:p w14:paraId="651A2762" w14:textId="77777777" w:rsidR="005A5D1C" w:rsidRPr="005A5D1C" w:rsidRDefault="005A5D1C" w:rsidP="005A5D1C">
            <w:pPr>
              <w:pStyle w:val="Prrafodelista"/>
              <w:numPr>
                <w:ilvl w:val="0"/>
                <w:numId w:val="49"/>
              </w:numPr>
              <w:rPr>
                <w:rFonts w:ascii="Calibri" w:hAnsi="Calibri" w:cs="Calibri"/>
              </w:rPr>
            </w:pPr>
            <w:r w:rsidRPr="005A5D1C">
              <w:rPr>
                <w:rFonts w:ascii="Calibri" w:hAnsi="Calibri" w:cs="Calibri"/>
              </w:rPr>
              <w:t>Long-term (post-2024): Adjusting prudential regulation as needed.</w:t>
            </w:r>
          </w:p>
          <w:p w14:paraId="3765D39D" w14:textId="77777777" w:rsidR="005A5D1C" w:rsidRPr="005A5D1C" w:rsidRDefault="005A5D1C" w:rsidP="005A5D1C">
            <w:pPr>
              <w:rPr>
                <w:rFonts w:ascii="Calibri" w:hAnsi="Calibri" w:cs="Calibri"/>
              </w:rPr>
            </w:pPr>
            <w:r w:rsidRPr="005A5D1C">
              <w:rPr>
                <w:rFonts w:ascii="Calibri" w:hAnsi="Calibri" w:cs="Calibri"/>
              </w:rPr>
              <w:t>2. Creation of Internal Capacities:</w:t>
            </w:r>
            <w:r>
              <w:rPr>
                <w:rFonts w:ascii="Calibri" w:hAnsi="Calibri" w:cs="Calibri"/>
              </w:rPr>
              <w:t xml:space="preserve"> </w:t>
            </w:r>
            <w:r w:rsidRPr="005A5D1C">
              <w:rPr>
                <w:rFonts w:ascii="Calibri" w:hAnsi="Calibri" w:cs="Calibri"/>
              </w:rPr>
              <w:t>The CMF reports the need to strengthen its internal analytical and supervisory capacities to monitor climate risks (p. 10).</w:t>
            </w:r>
          </w:p>
          <w:p w14:paraId="7A457096" w14:textId="72A1B91C" w:rsidR="00654950" w:rsidRPr="005A5D1C" w:rsidRDefault="005A5D1C" w:rsidP="005A5D1C">
            <w:pPr>
              <w:rPr>
                <w:rFonts w:ascii="Calibri" w:hAnsi="Calibri" w:cs="Calibri"/>
              </w:rPr>
            </w:pPr>
            <w:r w:rsidRPr="005A5D1C">
              <w:rPr>
                <w:rFonts w:ascii="Calibri" w:hAnsi="Calibri" w:cs="Calibri"/>
              </w:rPr>
              <w:t>3. Engagement with the Financial Sector</w:t>
            </w:r>
            <w:r>
              <w:rPr>
                <w:rFonts w:ascii="Calibri" w:hAnsi="Calibri" w:cs="Calibri"/>
              </w:rPr>
              <w:t xml:space="preserve">: </w:t>
            </w:r>
            <w:r w:rsidRPr="005A5D1C">
              <w:rPr>
                <w:rFonts w:ascii="Calibri" w:hAnsi="Calibri" w:cs="Calibri"/>
              </w:rPr>
              <w:t>The strategy includes outreach and coordination with regulated financial entities to guide future disclosure and risk management expectations (p. 6–7).</w:t>
            </w: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349D81B"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6DA33931"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54B2E25F"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0F42C4A4" w:rsidR="008063B5" w:rsidRDefault="00F646FB"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laconcuadrcula"/>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4C10732E" w:rsidR="00042406" w:rsidRDefault="00910F40" w:rsidP="00DD3144">
            <w:r>
              <w:t>X</w:t>
            </w:r>
          </w:p>
        </w:tc>
        <w:tc>
          <w:tcPr>
            <w:tcW w:w="1440" w:type="dxa"/>
            <w:vAlign w:val="center"/>
          </w:tcPr>
          <w:p w14:paraId="7015C034" w14:textId="1B5D56A5"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493C5433"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2A77091D" w:rsidR="00042406" w:rsidRDefault="00467D02"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065C3B58" w:rsidR="00042406" w:rsidRDefault="00910F40" w:rsidP="00DD3144">
            <w:r>
              <w:t>X</w:t>
            </w:r>
          </w:p>
        </w:tc>
        <w:tc>
          <w:tcPr>
            <w:tcW w:w="1440" w:type="dxa"/>
            <w:vAlign w:val="center"/>
          </w:tcPr>
          <w:p w14:paraId="78F2FEC9" w14:textId="72822898"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7963535E" w:rsidR="00042406" w:rsidRDefault="00910F40" w:rsidP="00DD3144">
            <w:r>
              <w:t>X</w:t>
            </w:r>
          </w:p>
        </w:tc>
        <w:tc>
          <w:tcPr>
            <w:tcW w:w="1440" w:type="dxa"/>
            <w:vAlign w:val="center"/>
          </w:tcPr>
          <w:p w14:paraId="44DA35FE" w14:textId="44AE9A54"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2FED7BAE" w:rsidR="00042406" w:rsidRDefault="00910F40" w:rsidP="00DD3144">
            <w:r>
              <w:t>X</w:t>
            </w:r>
          </w:p>
        </w:tc>
        <w:tc>
          <w:tcPr>
            <w:tcW w:w="1440" w:type="dxa"/>
            <w:vAlign w:val="center"/>
          </w:tcPr>
          <w:p w14:paraId="7EE9A7FE" w14:textId="29BF6E0C"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2F91D1F0" w:rsidR="00042406" w:rsidRDefault="00910F40" w:rsidP="00DD3144">
            <w:r>
              <w:t>X</w:t>
            </w:r>
          </w:p>
        </w:tc>
        <w:tc>
          <w:tcPr>
            <w:tcW w:w="1440" w:type="dxa"/>
            <w:vAlign w:val="center"/>
          </w:tcPr>
          <w:p w14:paraId="7603D43B" w14:textId="082FB856"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1ED013BC" w:rsidR="00042406" w:rsidRDefault="00910F40" w:rsidP="00DD3144">
            <w:r>
              <w:t>X</w:t>
            </w:r>
          </w:p>
        </w:tc>
        <w:tc>
          <w:tcPr>
            <w:tcW w:w="1440" w:type="dxa"/>
            <w:vAlign w:val="center"/>
          </w:tcPr>
          <w:p w14:paraId="61F239DB" w14:textId="77777777" w:rsidR="00042406" w:rsidRDefault="00042406" w:rsidP="00DD3144"/>
        </w:tc>
        <w:tc>
          <w:tcPr>
            <w:tcW w:w="1890" w:type="dxa"/>
            <w:vAlign w:val="center"/>
          </w:tcPr>
          <w:p w14:paraId="24A26498" w14:textId="60790C0C"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lastRenderedPageBreak/>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lastRenderedPageBreak/>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2E1F986F" w:rsidR="00B0479E" w:rsidRDefault="00910F40"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4B76F273" w:rsidR="00B0479E" w:rsidRDefault="00910F40"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3017C9F1" w:rsidR="00B0479E" w:rsidRDefault="00910F40" w:rsidP="00DD3144">
            <w:pPr>
              <w:rPr>
                <w:rFonts w:ascii="Calibri" w:hAnsi="Calibri" w:cs="Calibri"/>
              </w:rPr>
            </w:pPr>
            <w:r>
              <w:rPr>
                <w:rFonts w:ascii="Calibri" w:hAnsi="Calibri" w:cs="Calibri"/>
              </w:rPr>
              <w:t>X</w:t>
            </w: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0E1E00F7"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16BC8BC2" w:rsidR="00B0479E" w:rsidRDefault="00910F40" w:rsidP="00DD3144">
            <w:pPr>
              <w:rPr>
                <w:rFonts w:ascii="Calibri" w:hAnsi="Calibri" w:cs="Calibri"/>
              </w:rPr>
            </w:pPr>
            <w:r>
              <w:rPr>
                <w:rFonts w:ascii="Calibri" w:hAnsi="Calibri" w:cs="Calibri"/>
              </w:rPr>
              <w:t xml:space="preserve">The Strategy </w:t>
            </w:r>
            <w:r w:rsidR="00467D02">
              <w:rPr>
                <w:rFonts w:ascii="Calibri" w:hAnsi="Calibri" w:cs="Calibri"/>
              </w:rPr>
              <w:t xml:space="preserve">recommends aspects such as disclosing GHG emissions, offsets or removals, and others, but it does not oblige. It also does not state specifically which emissions.  It also does not mention specific measures to determine the </w:t>
            </w:r>
            <w:proofErr w:type="gramStart"/>
            <w:r w:rsidR="00467D02">
              <w:rPr>
                <w:rFonts w:ascii="Calibri" w:hAnsi="Calibri" w:cs="Calibri"/>
              </w:rPr>
              <w:t>amount</w:t>
            </w:r>
            <w:proofErr w:type="gramEnd"/>
            <w:r w:rsidR="00467D02">
              <w:rPr>
                <w:rFonts w:ascii="Calibri" w:hAnsi="Calibri" w:cs="Calibri"/>
              </w:rPr>
              <w:t xml:space="preserve"> of emissions, but it does say that international standards must be enforced. </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6E8D993B"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lastRenderedPageBreak/>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0C5D338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025184B8"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640DD92D" w:rsidR="00B0479E" w:rsidRDefault="00B0479E" w:rsidP="00467D02"/>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2698555E" w:rsidR="00B0479E" w:rsidRDefault="00467D02" w:rsidP="00DD3144">
            <w:r>
              <w:t>X</w:t>
            </w:r>
          </w:p>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3D0FBE08" w:rsidR="00B0479E" w:rsidRDefault="00467D02"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FFA0C4E" w:rsidR="00B0479E" w:rsidRDefault="00467D02"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56B6C62E" w:rsidR="00B0479E" w:rsidRDefault="00467D02"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3CDDB53E" w:rsidR="00B0479E" w:rsidRDefault="00467D02"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207EDFE5" w:rsidR="00B0479E" w:rsidRDefault="00467D02"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647890AF"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05383F0" w:rsidR="00B0479E" w:rsidRDefault="00467D02"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081B19E1" w:rsidR="00B0479E" w:rsidRDefault="00467D02"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lastRenderedPageBreak/>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12BC7F9E" w:rsidR="00B0479E" w:rsidRDefault="00467D02"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592861A6" w:rsidR="00B0479E" w:rsidRDefault="00467D02"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55C9AE9D" w:rsidR="00B0479E" w:rsidRDefault="00467D02"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01B3CC97" w:rsidR="00B0479E" w:rsidRDefault="00467D02"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3B115859" w:rsidR="00B0479E" w:rsidRDefault="0044689A"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2A13F6C6"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AEEDCCD" w:rsidR="00B0479E" w:rsidRDefault="0044689A"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lastRenderedPageBreak/>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18997A45" w:rsidR="00B0479E" w:rsidRDefault="0044689A"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52F45BB8" w:rsidR="00B0479E" w:rsidRDefault="0044689A"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2E682935" w:rsidR="00B0479E" w:rsidRDefault="0044689A"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B79380D" w:rsidR="00B0479E" w:rsidRDefault="0044689A"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68AF76A9" w:rsidR="00B0479E" w:rsidRDefault="0044689A" w:rsidP="00DD3144">
            <w:r w:rsidRPr="0044689A">
              <w:t>Only climate adaptation is indirectly encouraged through the identification of physical climate risks, but no other specific climate-related targets are recommended or required. The overall tone is voluntary and principle-based, promoting alignment with international frameworks (e.g. TCFD), not prescribing detailed targets.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4AAE225" w:rsidR="00EC42A1" w:rsidRDefault="0044689A"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0A755D27"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5383480E" w:rsidR="00EC42A1" w:rsidRDefault="0044689A" w:rsidP="00DD3144">
            <w:r>
              <w:t>X</w:t>
            </w:r>
          </w:p>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325094B5" w:rsidR="00EC42A1" w:rsidRDefault="0044689A" w:rsidP="00DD3144">
            <w:r w:rsidRPr="0044689A">
              <w:t>The strategy promotes alignment with TCFD, which relies on entity-level judgment to determine material climate-related risks</w:t>
            </w:r>
            <w:r>
              <w:t xml:space="preserve">, but it does not explain this explicitly. </w:t>
            </w:r>
          </w:p>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2774E575" w:rsidR="00EC42A1" w:rsidRDefault="0044689A" w:rsidP="00DD3144">
            <w:r>
              <w:t>X</w:t>
            </w:r>
          </w:p>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4A9382B5" w:rsidR="00EC42A1" w:rsidRDefault="0044689A" w:rsidP="00DD3144">
            <w:r>
              <w:t>X</w:t>
            </w:r>
          </w:p>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180A455B" w:rsidR="00EC42A1" w:rsidRDefault="0044689A"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5865C0AA" w:rsidR="00484663" w:rsidRDefault="0044689A"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529D1C96" w:rsidR="00484663" w:rsidRDefault="0044689A" w:rsidP="00DD3144">
            <w:r>
              <w:t>X</w:t>
            </w:r>
          </w:p>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4CAE9BD3" w:rsidR="00484663" w:rsidRDefault="00A47D20" w:rsidP="00A47D20">
            <w:r>
              <w:t>The strategy recommends disclosure of transition risks in the context of financial impacts on the entity.</w:t>
            </w:r>
            <w:r>
              <w:t xml:space="preserve"> </w:t>
            </w:r>
            <w:r>
              <w:t xml:space="preserve">It does not specify types of transition risk nor require </w:t>
            </w:r>
            <w:proofErr w:type="gramStart"/>
            <w:r>
              <w:t>disclosure</w:t>
            </w:r>
            <w:r>
              <w:t>, and</w:t>
            </w:r>
            <w:proofErr w:type="gramEnd"/>
            <w:r>
              <w:t xml:space="preserve"> does not reference or encourage reporting from a double materiality standpoint.</w:t>
            </w:r>
          </w:p>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19CBF3F" w:rsidR="00484663" w:rsidRDefault="00A47D20"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5561CCAC" w:rsidR="00484663" w:rsidRDefault="00A47D20"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23F5B4D5" w:rsidR="00484663" w:rsidRDefault="00A47D20"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61F4EAD2" w:rsidR="00484663" w:rsidRDefault="00A47D20"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0BE15BA0" w:rsidR="00484663" w:rsidRDefault="00A47D20"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5F84BABA" w:rsidR="00484663" w:rsidRDefault="00A47D20" w:rsidP="00DD3144">
            <w:r>
              <w:t>X</w:t>
            </w:r>
          </w:p>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4DE09569" w:rsidR="00484663" w:rsidRDefault="00A47D20" w:rsidP="00DD3144">
            <w:r>
              <w:t>X</w:t>
            </w:r>
          </w:p>
        </w:tc>
        <w:tc>
          <w:tcPr>
            <w:tcW w:w="1440" w:type="dxa"/>
            <w:vAlign w:val="center"/>
          </w:tcPr>
          <w:p w14:paraId="0215B9B8" w14:textId="77777777" w:rsidR="00484663" w:rsidRDefault="00484663" w:rsidP="00DD3144"/>
        </w:tc>
        <w:tc>
          <w:tcPr>
            <w:tcW w:w="1890" w:type="dxa"/>
            <w:vAlign w:val="center"/>
          </w:tcPr>
          <w:p w14:paraId="651FB3D7" w14:textId="29E83FB4"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484FFC85" w:rsidR="00484663" w:rsidRDefault="00A47D20"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52590416" w:rsidR="00484663" w:rsidRDefault="00A47D20" w:rsidP="00DD3144">
            <w:r>
              <w:t>X</w:t>
            </w:r>
          </w:p>
        </w:tc>
        <w:tc>
          <w:tcPr>
            <w:tcW w:w="1440" w:type="dxa"/>
            <w:vAlign w:val="center"/>
          </w:tcPr>
          <w:p w14:paraId="628EDE61" w14:textId="77777777" w:rsidR="00484663" w:rsidRDefault="00484663" w:rsidP="00DD3144"/>
        </w:tc>
        <w:tc>
          <w:tcPr>
            <w:tcW w:w="1890" w:type="dxa"/>
            <w:vAlign w:val="center"/>
          </w:tcPr>
          <w:p w14:paraId="01F1E8DE" w14:textId="3BD0BFC0"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33CA563F" w:rsidR="00484663" w:rsidRDefault="00A47D20" w:rsidP="00DD3144">
            <w:r>
              <w:t>X</w:t>
            </w:r>
          </w:p>
        </w:tc>
        <w:tc>
          <w:tcPr>
            <w:tcW w:w="1440" w:type="dxa"/>
            <w:vAlign w:val="center"/>
          </w:tcPr>
          <w:p w14:paraId="4DD99938" w14:textId="77777777" w:rsidR="00484663" w:rsidRDefault="00484663" w:rsidP="00DD3144"/>
        </w:tc>
        <w:tc>
          <w:tcPr>
            <w:tcW w:w="1890" w:type="dxa"/>
            <w:vAlign w:val="center"/>
          </w:tcPr>
          <w:p w14:paraId="065E4B33" w14:textId="3BFEA9F1"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5FB005A" w:rsidR="00484663" w:rsidRDefault="00A47D20" w:rsidP="00DD3144">
            <w:r>
              <w:t>X</w:t>
            </w:r>
          </w:p>
        </w:tc>
        <w:tc>
          <w:tcPr>
            <w:tcW w:w="1440" w:type="dxa"/>
            <w:vAlign w:val="center"/>
          </w:tcPr>
          <w:p w14:paraId="10DE3AE1" w14:textId="77777777" w:rsidR="00484663" w:rsidRDefault="00484663" w:rsidP="00DD3144"/>
        </w:tc>
        <w:tc>
          <w:tcPr>
            <w:tcW w:w="1890" w:type="dxa"/>
            <w:vAlign w:val="center"/>
          </w:tcPr>
          <w:p w14:paraId="0650D0EA" w14:textId="745B849A"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4672CBDB" w:rsidR="00484663" w:rsidRDefault="00A47D20"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3D037737" w:rsidR="00484663" w:rsidRDefault="00A47D20"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49013D9D" w:rsidR="00484663" w:rsidRDefault="00A47D20"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4FA5988F" w:rsidR="00484663" w:rsidRDefault="00A47D20"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aconcuadrcula"/>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F5CE75E" w:rsidR="00DA416F" w:rsidRPr="00DD3144" w:rsidRDefault="00273F67"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A24FB49" w:rsidR="00DA416F" w:rsidRPr="00DD3144" w:rsidRDefault="00273F67"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47C8D5D8" w:rsidR="00DA416F" w:rsidRPr="00DD3144" w:rsidRDefault="00273F67" w:rsidP="00DD3144">
            <w:pPr>
              <w:keepNext/>
              <w:rPr>
                <w:rFonts w:ascii="Calibri" w:hAnsi="Calibri" w:cs="Calibri"/>
              </w:rPr>
            </w:pPr>
            <w:r>
              <w:rPr>
                <w:rFonts w:ascii="Calibri" w:hAnsi="Calibri" w:cs="Calibri"/>
              </w:rPr>
              <w:t>X</w:t>
            </w: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EC08D64" w:rsidR="00DA416F" w:rsidRPr="00DD3144" w:rsidRDefault="00273F67"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3BFD31EF" w:rsidR="00DA416F" w:rsidRPr="00DD3144" w:rsidRDefault="00273F67"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B717A5B" w:rsidR="00DA416F" w:rsidRPr="00DD3144" w:rsidRDefault="00273F67"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B7001C6" w:rsidR="00DA416F" w:rsidRPr="00DD3144" w:rsidRDefault="00273F67"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300E791" w:rsidR="00DA416F" w:rsidRPr="00DD3144" w:rsidRDefault="00273F67"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4C068F5" w:rsidR="00DA416F" w:rsidRPr="00DD3144" w:rsidRDefault="00273F67"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487838E" w:rsidR="00DA416F" w:rsidRPr="00DD3144" w:rsidRDefault="00273F67"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DCE9E80" w:rsidR="00DA416F" w:rsidRPr="00DD3144" w:rsidRDefault="00273F67"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AA36C04" w:rsidR="00DA416F" w:rsidRPr="00DD3144" w:rsidRDefault="00273F67"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1A73B54A" w:rsidR="00DA416F" w:rsidRPr="00DD3144" w:rsidRDefault="00273F67"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3FE9792" w:rsidR="00DA416F" w:rsidRPr="00DD3144" w:rsidRDefault="00273F67" w:rsidP="00DD3144">
            <w:pPr>
              <w:keepNext/>
              <w:rPr>
                <w:rFonts w:ascii="Calibri" w:hAnsi="Calibri" w:cs="Calibri"/>
              </w:rPr>
            </w:pPr>
            <w:r>
              <w:rPr>
                <w:rFonts w:ascii="Calibri" w:hAnsi="Calibri" w:cs="Calibri"/>
              </w:rP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07CA105C" w:rsidR="004B1F6B" w:rsidRPr="00DD3144" w:rsidRDefault="00273F67" w:rsidP="00273F67">
            <w:pPr>
              <w:keepNext/>
              <w:rPr>
                <w:rFonts w:ascii="Calibri" w:hAnsi="Calibri" w:cs="Calibri"/>
              </w:rPr>
            </w:pPr>
            <w:r w:rsidRPr="00273F67">
              <w:rPr>
                <w:rFonts w:ascii="Calibri" w:hAnsi="Calibri" w:cs="Calibri"/>
              </w:rPr>
              <w:t>The only explicitly referenced framework is the TCFD, which the strategy promotes as a guiding disclosure framework.</w:t>
            </w:r>
            <w:r>
              <w:rPr>
                <w:rFonts w:ascii="Calibri" w:hAnsi="Calibri" w:cs="Calibri"/>
              </w:rPr>
              <w:t xml:space="preserve"> </w:t>
            </w:r>
            <w:r w:rsidRPr="00273F67">
              <w:rPr>
                <w:rFonts w:ascii="Calibri" w:hAnsi="Calibri" w:cs="Calibri"/>
              </w:rPr>
              <w:t>No direct references or requirements to IFRS S1, IFRS S2, GHG Protocol, CDP, GRI, SASB, ESRS, TNFD, PCAF, GFANZ, or others appear in the strategy document.</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laconcuadrcula"/>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laconcuadrcula"/>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laconcuadrcula"/>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laconcuadrcula"/>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laconcuadrcula"/>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laconcuadrcula"/>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laconcuadrcula"/>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laconcuadrcula"/>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r w:rsidR="002E5ACB">
        <w:t>Life</w:t>
      </w:r>
      <w:r w:rsidR="00DF4489">
        <w:t>-cycle or Whole-life Costing</w:t>
      </w:r>
      <w:bookmarkEnd w:id="18"/>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laconcuadrcula"/>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laconcuadrcula"/>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laconcuadrcula"/>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laconcuadrcula"/>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laconcuadrcula"/>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ipervnculo"/>
                  <w:rFonts w:ascii="Calibri" w:eastAsia="Times New Roman" w:hAnsi="Calibri" w:cs="Calibri"/>
                  <w:kern w:val="0"/>
                  <w:lang w:eastAsia="en-GB"/>
                  <w14:ligatures w14:val="none"/>
                </w:rPr>
                <w:t xml:space="preserve">Section </w:t>
              </w:r>
              <w:r w:rsidR="00B20D58" w:rsidRPr="00CF2E7C">
                <w:rPr>
                  <w:rStyle w:val="Hipervnculo"/>
                  <w:rFonts w:ascii="Calibri" w:eastAsia="Times New Roman" w:hAnsi="Calibri" w:cs="Calibri"/>
                  <w:kern w:val="0"/>
                  <w:lang w:eastAsia="en-GB"/>
                  <w14:ligatures w14:val="none"/>
                </w:rPr>
                <w:t>4</w:t>
              </w:r>
              <w:r w:rsidR="004A54B3" w:rsidRPr="00CF2E7C">
                <w:rPr>
                  <w:rStyle w:val="Hipervnculo"/>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ar"/>
          <w:rFonts w:cstheme="minorBidi"/>
          <w:sz w:val="24"/>
          <w:szCs w:val="24"/>
        </w:rPr>
        <w:t xml:space="preserve">Section </w:t>
      </w:r>
      <w:r w:rsidR="00B20D58">
        <w:rPr>
          <w:rStyle w:val="Ttulo3Car"/>
          <w:rFonts w:cstheme="minorBidi"/>
          <w:sz w:val="24"/>
          <w:szCs w:val="24"/>
        </w:rPr>
        <w:t>4</w:t>
      </w:r>
      <w:r w:rsidR="00D2196F">
        <w:rPr>
          <w:rStyle w:val="Ttulo3Car"/>
          <w:rFonts w:cstheme="minorBidi"/>
          <w:sz w:val="24"/>
          <w:szCs w:val="24"/>
        </w:rPr>
        <w:t>.4.</w:t>
      </w:r>
      <w:r w:rsidRPr="77F364D2">
        <w:rPr>
          <w:rStyle w:val="Ttulo3Car"/>
          <w:rFonts w:cstheme="minorBidi"/>
          <w:sz w:val="24"/>
          <w:szCs w:val="24"/>
        </w:rPr>
        <w:t>1: Criteria for Carbon Credits Generation and/or Eligibility</w:t>
      </w:r>
      <w:r w:rsidRPr="77F364D2">
        <w:rPr>
          <w:rStyle w:val="Ttulo3C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laconcuadrcula"/>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59CE5EAD" w:rsidR="00D4323A" w:rsidRPr="00CF2E7C" w:rsidRDefault="00273F67"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5D12F228" w:rsidR="00D4323A" w:rsidRPr="00CF2E7C" w:rsidRDefault="00273F67"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3AAD049F" w:rsidR="00D4323A" w:rsidRPr="00CF2E7C" w:rsidRDefault="00D4323A" w:rsidP="00CF2E7C">
            <w:pPr>
              <w:rPr>
                <w:rFonts w:ascii="Calibri" w:hAnsi="Calibri" w:cs="Calibri"/>
              </w:rPr>
            </w:pPr>
          </w:p>
        </w:tc>
        <w:tc>
          <w:tcPr>
            <w:tcW w:w="1455" w:type="dxa"/>
            <w:gridSpan w:val="2"/>
            <w:vAlign w:val="center"/>
          </w:tcPr>
          <w:p w14:paraId="768ED678" w14:textId="1A972E31" w:rsidR="00D4323A" w:rsidRPr="00CF2E7C" w:rsidRDefault="00273F67" w:rsidP="00CF2E7C">
            <w:pPr>
              <w:rPr>
                <w:rFonts w:ascii="Calibri" w:hAnsi="Calibri" w:cs="Calibri"/>
              </w:rPr>
            </w:pPr>
            <w:r>
              <w:rPr>
                <w:rFonts w:ascii="Calibri" w:hAnsi="Calibri" w:cs="Calibri"/>
              </w:rPr>
              <w:t>X</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AE0C42B" w:rsidR="00D4323A" w:rsidRPr="00CF2E7C" w:rsidRDefault="00273F67"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5BD28514" w:rsidR="00D4323A" w:rsidRPr="00CF2E7C" w:rsidRDefault="00273F67"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364839D7" w:rsidR="00D4323A" w:rsidRPr="00CF2E7C" w:rsidRDefault="00273F67"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0BDFC453" w:rsidR="00D4323A" w:rsidRPr="00CF2E7C" w:rsidRDefault="00273F67"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227B681D" w:rsidR="00D4323A" w:rsidRPr="00CF2E7C" w:rsidRDefault="00273F67"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355F0B5" w:rsidR="00D4323A" w:rsidRPr="00CF2E7C" w:rsidRDefault="00273F67"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4300373B" w:rsidR="00D4323A" w:rsidRPr="00CF2E7C" w:rsidRDefault="00273F67"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A53A66D" w:rsidR="00D4323A" w:rsidRPr="00CF2E7C" w:rsidRDefault="00273F67"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6249530" w:rsidR="00D4323A" w:rsidRPr="00CF2E7C" w:rsidRDefault="00273F67"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47C3A5C" w:rsidR="00D4323A" w:rsidRPr="00CF2E7C" w:rsidRDefault="00273F67" w:rsidP="00CF2E7C">
            <w:pPr>
              <w:rPr>
                <w:rFonts w:ascii="Calibri" w:hAnsi="Calibri" w:cs="Calibri"/>
              </w:rPr>
            </w:pPr>
            <w:r>
              <w:rPr>
                <w:rFonts w:ascii="Calibri" w:hAnsi="Calibri" w:cs="Calibri"/>
              </w:rPr>
              <w:t>X</w:t>
            </w: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35FFFECA" w:rsidR="00DD292A" w:rsidRPr="00CF2E7C" w:rsidRDefault="00DD292A" w:rsidP="00CF2E7C">
            <w:pPr>
              <w:rPr>
                <w:rFonts w:ascii="Calibri" w:hAnsi="Calibri" w:cs="Calibri"/>
              </w:rPr>
            </w:pPr>
          </w:p>
        </w:tc>
        <w:tc>
          <w:tcPr>
            <w:tcW w:w="1455" w:type="dxa"/>
            <w:gridSpan w:val="2"/>
            <w:vAlign w:val="center"/>
          </w:tcPr>
          <w:p w14:paraId="135AE0CB" w14:textId="38DE4C7F" w:rsidR="00DD292A" w:rsidRPr="00CF2E7C" w:rsidRDefault="00273F67" w:rsidP="00CF2E7C">
            <w:pPr>
              <w:rPr>
                <w:rFonts w:ascii="Calibri" w:hAnsi="Calibri" w:cs="Calibri"/>
              </w:rPr>
            </w:pPr>
            <w:r>
              <w:rPr>
                <w:rFonts w:ascii="Calibri" w:hAnsi="Calibri" w:cs="Calibri"/>
              </w:rPr>
              <w:t>X</w:t>
            </w: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4329780E" w:rsidR="00DD292A" w:rsidRPr="00CF2E7C" w:rsidRDefault="00DD292A" w:rsidP="00CF2E7C">
            <w:pPr>
              <w:rPr>
                <w:rFonts w:ascii="Calibri" w:hAnsi="Calibri" w:cs="Calibri"/>
              </w:rPr>
            </w:pPr>
          </w:p>
        </w:tc>
        <w:tc>
          <w:tcPr>
            <w:tcW w:w="1455" w:type="dxa"/>
            <w:gridSpan w:val="2"/>
            <w:vAlign w:val="center"/>
          </w:tcPr>
          <w:p w14:paraId="59824F78" w14:textId="28EF9BB6" w:rsidR="00DD292A" w:rsidRPr="00CF2E7C" w:rsidRDefault="00273F67" w:rsidP="00CF2E7C">
            <w:pPr>
              <w:rPr>
                <w:rFonts w:ascii="Calibri" w:hAnsi="Calibri" w:cs="Calibri"/>
              </w:rPr>
            </w:pPr>
            <w:r>
              <w:rPr>
                <w:rFonts w:ascii="Calibri" w:hAnsi="Calibri" w:cs="Calibri"/>
              </w:rPr>
              <w:t>X</w:t>
            </w: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0B355ACE" w:rsidR="00DD292A" w:rsidRPr="00CF2E7C" w:rsidRDefault="00DD292A" w:rsidP="00CF2E7C">
            <w:pPr>
              <w:rPr>
                <w:rFonts w:ascii="Calibri" w:hAnsi="Calibri" w:cs="Calibri"/>
              </w:rPr>
            </w:pPr>
          </w:p>
        </w:tc>
        <w:tc>
          <w:tcPr>
            <w:tcW w:w="1455" w:type="dxa"/>
            <w:gridSpan w:val="2"/>
            <w:vAlign w:val="center"/>
          </w:tcPr>
          <w:p w14:paraId="4FF5C987" w14:textId="18E94178" w:rsidR="00DD292A" w:rsidRPr="00CF2E7C" w:rsidRDefault="00273F67" w:rsidP="00CF2E7C">
            <w:pPr>
              <w:rPr>
                <w:rFonts w:ascii="Calibri" w:hAnsi="Calibri" w:cs="Calibri"/>
              </w:rPr>
            </w:pPr>
            <w:r>
              <w:rPr>
                <w:rFonts w:ascii="Calibri" w:hAnsi="Calibri" w:cs="Calibri"/>
              </w:rPr>
              <w:t>X</w:t>
            </w: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478147A6" w:rsidR="00DD292A" w:rsidRPr="00CF2E7C" w:rsidRDefault="00DD292A" w:rsidP="00CF2E7C">
            <w:pPr>
              <w:rPr>
                <w:rFonts w:ascii="Calibri" w:hAnsi="Calibri" w:cs="Calibri"/>
              </w:rPr>
            </w:pPr>
          </w:p>
        </w:tc>
        <w:tc>
          <w:tcPr>
            <w:tcW w:w="1455" w:type="dxa"/>
            <w:gridSpan w:val="2"/>
            <w:vAlign w:val="center"/>
          </w:tcPr>
          <w:p w14:paraId="21154B2A" w14:textId="45A687D7" w:rsidR="00DD292A" w:rsidRPr="00CF2E7C" w:rsidRDefault="00273F67" w:rsidP="00CF2E7C">
            <w:pPr>
              <w:rPr>
                <w:rFonts w:ascii="Calibri" w:hAnsi="Calibri" w:cs="Calibri"/>
              </w:rPr>
            </w:pPr>
            <w:r>
              <w:rPr>
                <w:rFonts w:ascii="Calibri" w:hAnsi="Calibri" w:cs="Calibri"/>
              </w:rPr>
              <w:t>X</w:t>
            </w: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4A3A1329" w:rsidR="00DD292A" w:rsidRPr="00CF2E7C" w:rsidRDefault="00273F67"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07614BFE" w:rsidR="00DD292A" w:rsidRPr="00CF2E7C" w:rsidRDefault="00DD292A" w:rsidP="00CF2E7C">
            <w:pPr>
              <w:rPr>
                <w:rFonts w:ascii="Calibri" w:hAnsi="Calibri" w:cs="Calibri"/>
              </w:rPr>
            </w:pPr>
          </w:p>
        </w:tc>
        <w:tc>
          <w:tcPr>
            <w:tcW w:w="1455" w:type="dxa"/>
            <w:gridSpan w:val="2"/>
            <w:vAlign w:val="center"/>
          </w:tcPr>
          <w:p w14:paraId="364F7D9F" w14:textId="20B62976" w:rsidR="00DD292A" w:rsidRPr="00CF2E7C" w:rsidRDefault="00273F67" w:rsidP="00CF2E7C">
            <w:pPr>
              <w:rPr>
                <w:rFonts w:ascii="Calibri" w:hAnsi="Calibri" w:cs="Calibri"/>
              </w:rPr>
            </w:pPr>
            <w:r>
              <w:rPr>
                <w:rFonts w:ascii="Calibri" w:hAnsi="Calibri" w:cs="Calibri"/>
              </w:rPr>
              <w:t>X</w:t>
            </w: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39E28CDF" w:rsidR="00DD292A" w:rsidRPr="00CF2E7C" w:rsidRDefault="00273F67" w:rsidP="00CF2E7C">
            <w:pPr>
              <w:rPr>
                <w:rFonts w:ascii="Calibri" w:hAnsi="Calibri" w:cs="Calibri"/>
              </w:rPr>
            </w:pPr>
            <w:r w:rsidRPr="00273F67">
              <w:rPr>
                <w:rFonts w:ascii="Calibri" w:hAnsi="Calibri" w:cs="Calibri"/>
              </w:rPr>
              <w:t>The strategy focuses on entities supervised by the CMF, such as banks, insurance companies, issuers of publicly offered securities, general fund managers and stock exchanges.</w:t>
            </w: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6F9AC831" w:rsidR="00DD292A" w:rsidRPr="00CF2E7C" w:rsidRDefault="00273F67"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1FFEE1F6" w:rsidR="00DD292A" w:rsidRPr="00CF2E7C" w:rsidRDefault="00273F67"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102F4C0C" w:rsidR="00DD292A" w:rsidRPr="00CF2E7C" w:rsidRDefault="00273F67"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01852C40" w:rsidR="00DD292A" w:rsidRPr="00CF2E7C" w:rsidRDefault="00273F67"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6CFF3617" w:rsidR="00DD292A" w:rsidRPr="00CF2E7C" w:rsidRDefault="00273F67"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15CAFBF5" w:rsidR="00DD292A" w:rsidRPr="00CF2E7C" w:rsidRDefault="00273F67"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27309EBA" w:rsidR="00DD292A" w:rsidRPr="00CF2E7C" w:rsidRDefault="00273F67"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0F460C4E" w:rsidR="00DD292A" w:rsidRPr="00CF2E7C" w:rsidRDefault="00273F67"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0D52D1CC" w:rsidR="00DD292A" w:rsidRPr="00CF2E7C" w:rsidRDefault="00273F67"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3D474132" w:rsidR="00DD292A" w:rsidRPr="00CF2E7C" w:rsidRDefault="00273F67"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4D42DBC6" w:rsidR="00DD292A" w:rsidRPr="00CF2E7C" w:rsidRDefault="00DD292A" w:rsidP="00CF2E7C">
            <w:pPr>
              <w:rPr>
                <w:rFonts w:ascii="Calibri" w:hAnsi="Calibri" w:cs="Calibri"/>
              </w:rPr>
            </w:pPr>
          </w:p>
        </w:tc>
        <w:tc>
          <w:tcPr>
            <w:tcW w:w="1455" w:type="dxa"/>
            <w:gridSpan w:val="2"/>
            <w:vAlign w:val="center"/>
          </w:tcPr>
          <w:p w14:paraId="48FCC9CA" w14:textId="18F62541" w:rsidR="00DD292A" w:rsidRPr="00CF2E7C" w:rsidRDefault="00273F67" w:rsidP="00CF2E7C">
            <w:pPr>
              <w:rPr>
                <w:rFonts w:ascii="Calibri" w:hAnsi="Calibri" w:cs="Calibri"/>
              </w:rPr>
            </w:pPr>
            <w:r>
              <w:rPr>
                <w:rFonts w:ascii="Calibri" w:hAnsi="Calibri" w:cs="Calibri"/>
              </w:rPr>
              <w:t>X</w:t>
            </w:r>
          </w:p>
        </w:tc>
        <w:tc>
          <w:tcPr>
            <w:tcW w:w="1505" w:type="dxa"/>
            <w:vAlign w:val="center"/>
          </w:tcPr>
          <w:p w14:paraId="24D6275F" w14:textId="2EA0AB54"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0713021E" w:rsidR="00DD292A" w:rsidRPr="00CF2E7C" w:rsidRDefault="00273F67"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F44E8A0" w:rsidR="00DD292A" w:rsidRPr="00CF2E7C" w:rsidRDefault="00273F67"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119D3704" w:rsidR="00DD292A" w:rsidRPr="00CF2E7C" w:rsidRDefault="00273F67"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575455B7" w:rsidR="00DD292A" w:rsidRPr="00CF2E7C" w:rsidRDefault="00273F67"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3349D8A0" w:rsidR="00DD292A" w:rsidRPr="00CF2E7C" w:rsidRDefault="00273F67"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59692F56" w:rsidR="00DD292A" w:rsidRPr="00CF2E7C" w:rsidRDefault="00273F67"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3308388F" w:rsidR="00DD292A" w:rsidRPr="00CF2E7C" w:rsidRDefault="00273F67"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5D6E95E5" w:rsidR="00DD292A" w:rsidRPr="00CF2E7C" w:rsidRDefault="00273F67"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6796B1F" w:rsidR="00DD292A" w:rsidRPr="00CF2E7C" w:rsidRDefault="00273F67"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2B0F8AE9" w:rsidR="00DD292A" w:rsidRPr="00CF2E7C" w:rsidRDefault="00273F67"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0E50CFDC" w:rsidR="00DD292A" w:rsidRPr="00CF2E7C" w:rsidRDefault="00273F67" w:rsidP="00CF2E7C">
            <w:pPr>
              <w:rPr>
                <w:rFonts w:ascii="Calibri" w:hAnsi="Calibri" w:cs="Calibri"/>
              </w:rPr>
            </w:pPr>
            <w:r>
              <w:rPr>
                <w:rFonts w:ascii="Calibri" w:hAnsi="Calibri" w:cs="Calibri"/>
              </w:rPr>
              <w:t>X</w:t>
            </w: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414C10AF" w:rsidR="00DD292A" w:rsidRPr="00CF2E7C" w:rsidRDefault="005A5D1C"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434329D8" w:rsidR="00DD3B33" w:rsidRPr="00CF2E7C" w:rsidRDefault="00273F67" w:rsidP="00CF2E7C">
            <w:pPr>
              <w:rPr>
                <w:rFonts w:ascii="Calibri" w:hAnsi="Calibri" w:cs="Calibri"/>
              </w:rPr>
            </w:pPr>
            <w:r>
              <w:rPr>
                <w:rFonts w:ascii="Calibri" w:hAnsi="Calibri" w:cs="Calibri"/>
              </w:rPr>
              <w:t>X</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1E28F33A" w:rsidR="00DD292A" w:rsidRPr="00CF2E7C" w:rsidRDefault="005A5D1C" w:rsidP="00CF2E7C">
            <w:pPr>
              <w:rPr>
                <w:rFonts w:ascii="Calibri" w:hAnsi="Calibri" w:cs="Calibri"/>
              </w:rPr>
            </w:pPr>
            <w:r>
              <w:rPr>
                <w:rFonts w:ascii="Calibri" w:hAnsi="Calibri" w:cs="Calibri"/>
              </w:rPr>
              <w:t>X</w:t>
            </w: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2D70DD4" w14:textId="0FED684E" w:rsidR="005A5D1C" w:rsidRPr="005A5D1C" w:rsidRDefault="005A5D1C" w:rsidP="005A5D1C">
            <w:pPr>
              <w:rPr>
                <w:rFonts w:ascii="Calibri" w:hAnsi="Calibri" w:cs="Calibri"/>
              </w:rPr>
            </w:pPr>
            <w:r w:rsidRPr="005A5D1C">
              <w:rPr>
                <w:rFonts w:ascii="Calibri" w:hAnsi="Calibri" w:cs="Calibri"/>
              </w:rPr>
              <w:t>Evidence of Implementation in the Strategy:</w:t>
            </w:r>
          </w:p>
          <w:p w14:paraId="0F3A2AFA" w14:textId="77777777" w:rsidR="005A5D1C" w:rsidRPr="005A5D1C" w:rsidRDefault="005A5D1C" w:rsidP="005A5D1C">
            <w:pPr>
              <w:rPr>
                <w:rFonts w:ascii="Calibri" w:hAnsi="Calibri" w:cs="Calibri"/>
              </w:rPr>
            </w:pPr>
          </w:p>
          <w:p w14:paraId="2DFBC00B" w14:textId="02FB7EC4" w:rsidR="005A5D1C" w:rsidRPr="005A5D1C" w:rsidRDefault="005A5D1C" w:rsidP="005A5D1C">
            <w:pPr>
              <w:rPr>
                <w:rFonts w:ascii="Calibri" w:hAnsi="Calibri" w:cs="Calibri"/>
              </w:rPr>
            </w:pPr>
            <w:r w:rsidRPr="005A5D1C">
              <w:rPr>
                <w:rFonts w:ascii="Calibri" w:hAnsi="Calibri" w:cs="Calibri"/>
              </w:rPr>
              <w:t>1. Explicit Timeline for Actions:</w:t>
            </w:r>
            <w:r>
              <w:rPr>
                <w:rFonts w:ascii="Calibri" w:hAnsi="Calibri" w:cs="Calibri"/>
              </w:rPr>
              <w:t xml:space="preserve"> </w:t>
            </w:r>
            <w:r w:rsidRPr="005A5D1C">
              <w:rPr>
                <w:rFonts w:ascii="Calibri" w:hAnsi="Calibri" w:cs="Calibri"/>
              </w:rPr>
              <w:t>The strategy includes a phased implementation plan with short, medium, and long-term goals (p. 7–9).</w:t>
            </w:r>
            <w:r>
              <w:rPr>
                <w:rFonts w:ascii="Calibri" w:hAnsi="Calibri" w:cs="Calibri"/>
              </w:rPr>
              <w:t xml:space="preserve"> </w:t>
            </w:r>
            <w:r w:rsidRPr="005A5D1C">
              <w:rPr>
                <w:rFonts w:ascii="Calibri" w:hAnsi="Calibri" w:cs="Calibri"/>
              </w:rPr>
              <w:t>For example:</w:t>
            </w:r>
          </w:p>
          <w:p w14:paraId="2E033665" w14:textId="77777777" w:rsidR="005A5D1C" w:rsidRPr="005A5D1C" w:rsidRDefault="005A5D1C" w:rsidP="005A5D1C">
            <w:pPr>
              <w:rPr>
                <w:rFonts w:ascii="Calibri" w:hAnsi="Calibri" w:cs="Calibri"/>
              </w:rPr>
            </w:pPr>
          </w:p>
          <w:p w14:paraId="64848BAC" w14:textId="6EA741FA" w:rsidR="005A5D1C" w:rsidRPr="005A5D1C" w:rsidRDefault="005A5D1C" w:rsidP="005A5D1C">
            <w:pPr>
              <w:pStyle w:val="Prrafodelista"/>
              <w:numPr>
                <w:ilvl w:val="0"/>
                <w:numId w:val="49"/>
              </w:numPr>
              <w:rPr>
                <w:rFonts w:ascii="Calibri" w:hAnsi="Calibri" w:cs="Calibri"/>
              </w:rPr>
            </w:pPr>
            <w:r w:rsidRPr="005A5D1C">
              <w:rPr>
                <w:rFonts w:ascii="Calibri" w:hAnsi="Calibri" w:cs="Calibri"/>
              </w:rPr>
              <w:t>Short-term (2020–2021): Training internal teams, gathering information from supervised entities.</w:t>
            </w:r>
          </w:p>
          <w:p w14:paraId="324085EB" w14:textId="748CC71E" w:rsidR="005A5D1C" w:rsidRPr="005A5D1C" w:rsidRDefault="005A5D1C" w:rsidP="005A5D1C">
            <w:pPr>
              <w:pStyle w:val="Prrafodelista"/>
              <w:numPr>
                <w:ilvl w:val="0"/>
                <w:numId w:val="49"/>
              </w:numPr>
              <w:rPr>
                <w:rFonts w:ascii="Calibri" w:hAnsi="Calibri" w:cs="Calibri"/>
              </w:rPr>
            </w:pPr>
            <w:r w:rsidRPr="005A5D1C">
              <w:rPr>
                <w:rFonts w:ascii="Calibri" w:hAnsi="Calibri" w:cs="Calibri"/>
              </w:rPr>
              <w:t>Medium-term (2021–2024): Incorporating climate risks into supervision and promoting disclosure.</w:t>
            </w:r>
          </w:p>
          <w:p w14:paraId="20683608" w14:textId="5E4E6F61" w:rsidR="005A5D1C" w:rsidRPr="005A5D1C" w:rsidRDefault="005A5D1C" w:rsidP="005A5D1C">
            <w:pPr>
              <w:pStyle w:val="Prrafodelista"/>
              <w:numPr>
                <w:ilvl w:val="0"/>
                <w:numId w:val="49"/>
              </w:numPr>
              <w:rPr>
                <w:rFonts w:ascii="Calibri" w:hAnsi="Calibri" w:cs="Calibri"/>
              </w:rPr>
            </w:pPr>
            <w:r w:rsidRPr="005A5D1C">
              <w:rPr>
                <w:rFonts w:ascii="Calibri" w:hAnsi="Calibri" w:cs="Calibri"/>
              </w:rPr>
              <w:t>Long-term (post-2024): Adjusting prudential regulation as needed.</w:t>
            </w:r>
          </w:p>
          <w:p w14:paraId="18A85E8E" w14:textId="0213BA94" w:rsidR="005A5D1C" w:rsidRPr="005A5D1C" w:rsidRDefault="005A5D1C" w:rsidP="005A5D1C">
            <w:pPr>
              <w:rPr>
                <w:rFonts w:ascii="Calibri" w:hAnsi="Calibri" w:cs="Calibri"/>
              </w:rPr>
            </w:pPr>
            <w:r w:rsidRPr="005A5D1C">
              <w:rPr>
                <w:rFonts w:ascii="Calibri" w:hAnsi="Calibri" w:cs="Calibri"/>
              </w:rPr>
              <w:t>2. Creation of Internal Capacities:</w:t>
            </w:r>
            <w:r>
              <w:rPr>
                <w:rFonts w:ascii="Calibri" w:hAnsi="Calibri" w:cs="Calibri"/>
              </w:rPr>
              <w:t xml:space="preserve"> </w:t>
            </w:r>
            <w:r w:rsidRPr="005A5D1C">
              <w:rPr>
                <w:rFonts w:ascii="Calibri" w:hAnsi="Calibri" w:cs="Calibri"/>
              </w:rPr>
              <w:t>The CMF reports the need to strengthen its internal analytical and supervisory capacities to monitor climate risks (p. 10).</w:t>
            </w:r>
          </w:p>
          <w:p w14:paraId="63863B2E" w14:textId="70828C6F" w:rsidR="005A5D1C" w:rsidRPr="005A5D1C" w:rsidRDefault="005A5D1C" w:rsidP="005A5D1C">
            <w:pPr>
              <w:rPr>
                <w:rFonts w:ascii="Calibri" w:hAnsi="Calibri" w:cs="Calibri"/>
              </w:rPr>
            </w:pPr>
            <w:r w:rsidRPr="005A5D1C">
              <w:rPr>
                <w:rFonts w:ascii="Calibri" w:hAnsi="Calibri" w:cs="Calibri"/>
              </w:rPr>
              <w:t>3. Engagement with the Financial Sector</w:t>
            </w:r>
            <w:r>
              <w:rPr>
                <w:rFonts w:ascii="Calibri" w:hAnsi="Calibri" w:cs="Calibri"/>
              </w:rPr>
              <w:t xml:space="preserve">: </w:t>
            </w:r>
            <w:r w:rsidRPr="005A5D1C">
              <w:rPr>
                <w:rFonts w:ascii="Calibri" w:hAnsi="Calibri" w:cs="Calibri"/>
              </w:rPr>
              <w:t>The strategy includes outreach and coordination with regulated financial entities to guide future disclosure and risk management expectations (p. 6–7).</w:t>
            </w:r>
          </w:p>
          <w:p w14:paraId="496F7156" w14:textId="6CD30521"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D48D2D3" w:rsidR="00410853" w:rsidRPr="00CF2E7C" w:rsidRDefault="001E18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ipervnculo"/>
                  <w:rFonts w:ascii="Calibri" w:hAnsi="Calibri" w:cs="Calibri"/>
                </w:rPr>
                <w:t>Section 5.2</w:t>
              </w:r>
              <w:r w:rsidR="00455E1B" w:rsidRPr="00CF2E7C">
                <w:rPr>
                  <w:rStyle w:val="Hipervnculo"/>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7DCCB586" w:rsidR="00410853" w:rsidRPr="00CF2E7C" w:rsidRDefault="001E185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ipervnculo"/>
                  <w:rFonts w:ascii="Calibri" w:hAnsi="Calibri" w:cs="Calibri"/>
                </w:rPr>
                <w:t>Section 5.</w:t>
              </w:r>
              <w:r w:rsidR="00455E1B" w:rsidRPr="00CF2E7C">
                <w:rPr>
                  <w:rStyle w:val="Hipervnculo"/>
                  <w:rFonts w:ascii="Calibri" w:hAnsi="Calibri" w:cs="Calibri"/>
                </w:rPr>
                <w:t>2.</w:t>
              </w:r>
              <w:r w:rsidR="009967D9" w:rsidRPr="00CF2E7C">
                <w:rPr>
                  <w:rStyle w:val="Hipervnculo"/>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112FFF9" w:rsidR="00F632FB" w:rsidRPr="00CF2E7C" w:rsidRDefault="008E34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0F2BDDC" w:rsidR="00F632FB" w:rsidRPr="00CF2E7C" w:rsidRDefault="008E34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3B6A88EC" w:rsidR="00F632FB" w:rsidRPr="00CF2E7C" w:rsidRDefault="008E34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0113A413" w:rsidR="008C4722" w:rsidRPr="00CF2E7C" w:rsidRDefault="008E34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98A1450" w:rsidR="008C4722" w:rsidRPr="00CF2E7C" w:rsidRDefault="008E34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13A2FBB" w:rsidR="008C4722" w:rsidRPr="00CF2E7C" w:rsidRDefault="008E340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1FD4CB73" w:rsidR="008C4722" w:rsidRPr="00CF2E7C" w:rsidRDefault="008E3409" w:rsidP="009149FE">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CMF recognizes that climate change poses a physical and transitional risks to the financial system (pp. 7-8). In Section 3.2 of the </w:t>
            </w:r>
            <w:proofErr w:type="gramStart"/>
            <w:r>
              <w:rPr>
                <w:rFonts w:ascii="Calibri" w:eastAsia="Times New Roman" w:hAnsi="Calibri" w:cs="Calibri"/>
                <w:kern w:val="0"/>
                <w:lang w:eastAsia="en-GB"/>
                <w14:ligatures w14:val="none"/>
              </w:rPr>
              <w:t>Strategy</w:t>
            </w:r>
            <w:proofErr w:type="gramEnd"/>
            <w:r>
              <w:rPr>
                <w:rFonts w:ascii="Calibri" w:eastAsia="Times New Roman" w:hAnsi="Calibri" w:cs="Calibri"/>
                <w:kern w:val="0"/>
                <w:lang w:eastAsia="en-GB"/>
                <w14:ligatures w14:val="none"/>
              </w:rPr>
              <w:t xml:space="preserve"> they state the integration of the financial risks derived from climate change, adding climate risk in process of prudential supervision, </w:t>
            </w:r>
            <w:r w:rsidR="009149FE">
              <w:rPr>
                <w:rFonts w:ascii="Calibri" w:eastAsia="Times New Roman" w:hAnsi="Calibri" w:cs="Calibri"/>
                <w:kern w:val="0"/>
                <w:lang w:eastAsia="en-GB"/>
                <w14:ligatures w14:val="none"/>
              </w:rPr>
              <w:t xml:space="preserve">and requesting entities to add these risks under their own management.  In Section 3.3 ‘Divulgation of risks and climate impact’ they encourage entities to align with TCDF recommendations, which include disclosing physical and transitional risks and strategies of adaptation or mitigation.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13C08935" w:rsidR="008C4722" w:rsidRPr="00CF2E7C" w:rsidRDefault="009149F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088F5E92" w:rsidR="007B7DEE" w:rsidRPr="00CF2E7C" w:rsidRDefault="009149F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093F5505" w:rsidR="00ED7E12" w:rsidRPr="00CF2E7C" w:rsidRDefault="009149F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23DEA81E" w:rsidR="00ED7E12" w:rsidRPr="00CF2E7C" w:rsidRDefault="009149F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strategy encourages entities to report climate-related information </w:t>
            </w:r>
            <w:proofErr w:type="gramStart"/>
            <w:r>
              <w:rPr>
                <w:rFonts w:ascii="Calibri" w:eastAsia="Times New Roman" w:hAnsi="Calibri" w:cs="Calibri"/>
                <w:kern w:val="0"/>
                <w:lang w:eastAsia="en-GB"/>
                <w14:ligatures w14:val="none"/>
              </w:rPr>
              <w:t>voluntarily, and</w:t>
            </w:r>
            <w:proofErr w:type="gramEnd"/>
            <w:r>
              <w:rPr>
                <w:rFonts w:ascii="Calibri" w:eastAsia="Times New Roman" w:hAnsi="Calibri" w:cs="Calibri"/>
                <w:kern w:val="0"/>
                <w:lang w:eastAsia="en-GB"/>
                <w14:ligatures w14:val="none"/>
              </w:rPr>
              <w:t xml:space="preserve"> outlines the CMF role in supervision and gradual integration of climate risk into financial oversight, but does not impose mandatory controls at this stage. </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3DE474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5A44">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004FD625" w:rsidR="00702413" w:rsidRPr="00CF2E7C" w:rsidRDefault="00CB5A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11D7072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5A44">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013B635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5A44">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5E5E59C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5A44">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64A6DF2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B5A44">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0CC751F" w:rsidR="00702413" w:rsidRPr="00CF2E7C" w:rsidRDefault="00CB5A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SG" w:eastAsia="en-GB"/>
                <w14:ligatures w14:val="none"/>
              </w:rPr>
              <w:t>X</w:t>
            </w:r>
            <w:r w:rsidR="00702413" w:rsidRPr="00CF2E7C">
              <w:rPr>
                <w:rFonts w:ascii="Calibri" w:eastAsia="Times New Roman" w:hAnsi="Calibri" w:cs="Calibri"/>
                <w:kern w:val="0"/>
                <w:lang w:val="en-SG" w:eastAsia="en-GB"/>
                <w14:ligatures w14:val="none"/>
              </w:rPr>
              <w:t> </w:t>
            </w:r>
            <w:r w:rsidR="00702413"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5A22B541" w:rsidR="00C82860" w:rsidRPr="00CF2E7C" w:rsidRDefault="00CB5A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1C26B12F" w:rsidR="00C82860" w:rsidRPr="00CF2E7C" w:rsidRDefault="00CB5A44" w:rsidP="00CB5A44">
            <w:pPr>
              <w:jc w:val="both"/>
              <w:textAlignment w:val="baseline"/>
              <w:rPr>
                <w:rFonts w:ascii="Calibri" w:eastAsia="Times New Roman" w:hAnsi="Calibri" w:cs="Calibri"/>
                <w:kern w:val="0"/>
                <w:lang w:eastAsia="en-GB"/>
                <w14:ligatures w14:val="none"/>
              </w:rPr>
            </w:pPr>
            <w:r w:rsidRPr="00CB5A44">
              <w:rPr>
                <w:rFonts w:ascii="Calibri" w:eastAsia="Times New Roman" w:hAnsi="Calibri" w:cs="Calibri"/>
                <w:kern w:val="0"/>
                <w:lang w:eastAsia="en-GB"/>
                <w14:ligatures w14:val="none"/>
              </w:rPr>
              <w:t>The Strategy strongly encourages disclosure of climate risk management practices, including associated governance, aligning with the pillars of the TCFD framework. The C</w:t>
            </w:r>
            <w:r>
              <w:rPr>
                <w:rFonts w:ascii="Calibri" w:eastAsia="Times New Roman" w:hAnsi="Calibri" w:cs="Calibri"/>
                <w:kern w:val="0"/>
                <w:lang w:eastAsia="en-GB"/>
                <w14:ligatures w14:val="none"/>
              </w:rPr>
              <w:t>MF</w:t>
            </w:r>
            <w:r w:rsidRPr="00CB5A44">
              <w:rPr>
                <w:rFonts w:ascii="Calibri" w:eastAsia="Times New Roman" w:hAnsi="Calibri" w:cs="Calibri"/>
                <w:kern w:val="0"/>
                <w:lang w:eastAsia="en-GB"/>
                <w14:ligatures w14:val="none"/>
              </w:rPr>
              <w:t xml:space="preserve"> does not impose formal obligations on </w:t>
            </w:r>
            <w:r w:rsidRPr="00CB5A44">
              <w:rPr>
                <w:rFonts w:ascii="Calibri" w:eastAsia="Times New Roman" w:hAnsi="Calibri" w:cs="Calibri"/>
                <w:kern w:val="0"/>
                <w:lang w:eastAsia="en-GB"/>
                <w14:ligatures w14:val="none"/>
              </w:rPr>
              <w:t>entities but</w:t>
            </w:r>
            <w:r w:rsidRPr="00CB5A44">
              <w:rPr>
                <w:rFonts w:ascii="Calibri" w:eastAsia="Times New Roman" w:hAnsi="Calibri" w:cs="Calibri"/>
                <w:kern w:val="0"/>
                <w:lang w:eastAsia="en-GB"/>
                <w14:ligatures w14:val="none"/>
              </w:rPr>
              <w:t xml:space="preserve"> sets supervisory expectations for adequate management and disclosure. These expectations are part of the strategy to move towards greater transparency and resilience of the financial system in the face of climate change.</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B225FCB" w:rsidR="00C82860" w:rsidRPr="00CF2E7C" w:rsidRDefault="00CB5A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01B960B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5A44">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3FBF1BC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5A44">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219A557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5A44">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8CDF72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5A44">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5090224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B5A44">
              <w:rPr>
                <w:rFonts w:ascii="Calibri" w:eastAsia="Times New Roman" w:hAnsi="Calibri" w:cs="Calibri"/>
                <w:kern w:val="0"/>
                <w:lang w:val="en-SG" w:eastAsia="en-GB"/>
                <w14:ligatures w14:val="none"/>
              </w:rPr>
              <w:t>X</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1D51F097" w:rsidR="00655FF7" w:rsidRPr="00CF2E7C" w:rsidRDefault="00B865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7C4325D5" w:rsidR="003032A9" w:rsidRPr="00CF2E7C" w:rsidRDefault="00B865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1DBDD32A" w:rsidR="003D5104" w:rsidRPr="00CF2E7C" w:rsidRDefault="00B865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165AAF07" w:rsidR="003D5104" w:rsidRPr="00CF2E7C" w:rsidRDefault="00B865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5936FFB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B86562">
              <w:rPr>
                <w:rFonts w:ascii="Calibri" w:eastAsia="Times New Roman" w:hAnsi="Calibri" w:cs="Calibri"/>
                <w:kern w:val="0"/>
                <w:lang w:val="en-SG" w:eastAsia="en-GB"/>
                <w14:ligatures w14:val="none"/>
              </w:rPr>
              <w:t>X</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42507698" w:rsidR="00BE1F9E" w:rsidRPr="00CF2E7C" w:rsidRDefault="00B865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On page 14, the strategy explicitly references the use of scenarios based on NGFS, which are combined with international models with Paris Agreement. </w:t>
            </w: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098C6966" w:rsidR="00DC31BF" w:rsidRPr="00CF2E7C" w:rsidRDefault="00B8656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B86562">
        <w:trPr>
          <w:trHeight w:val="685"/>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5B3DE7E6" w:rsidR="0098226E" w:rsidRPr="00CF2E7C" w:rsidRDefault="007A5F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093E3B32" w:rsidR="00F10A6E" w:rsidRPr="00CF2E7C" w:rsidRDefault="007A5F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7A3AF844" w:rsidR="00F10A6E" w:rsidRPr="00CF2E7C" w:rsidRDefault="007A5F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strategy does not specify an exact time horizon for conducting climate-related scenario analysis or stress testing exercises, but it does encourage evaluation in various terms of time. </w:t>
            </w: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0EEFA2" w14:textId="770BD2CB" w:rsidR="00F26296" w:rsidRDefault="007A5F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p w14:paraId="5F9C9C35" w14:textId="174D5B22" w:rsidR="007A5F89" w:rsidRPr="007A5F89" w:rsidRDefault="007A5F89" w:rsidP="007A5F89">
            <w:pPr>
              <w:rPr>
                <w:rFonts w:ascii="Calibri" w:eastAsia="Times New Roman" w:hAnsi="Calibri" w:cs="Calibri"/>
                <w:lang w:eastAsia="en-GB"/>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2766AFFE" w:rsidR="00F26296" w:rsidRPr="00CF2E7C" w:rsidRDefault="007A5F89" w:rsidP="007A5F89">
            <w:pPr>
              <w:jc w:val="both"/>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Strategy recommends using results to strengthen governance and risk management (pp. 12-14)</w:t>
            </w: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EAFEA9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A5F89">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3DC8CAF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A5F89">
              <w:rPr>
                <w:rFonts w:ascii="Calibri" w:eastAsia="Times New Roman" w:hAnsi="Calibri" w:cs="Calibri"/>
                <w:kern w:val="0"/>
                <w:lang w:eastAsia="en-GB"/>
                <w14:ligatures w14:val="none"/>
              </w:rPr>
              <w:t>X</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4CE13DE6" w:rsidR="00702413" w:rsidRPr="009C4D10" w:rsidRDefault="007A5F89"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Additional aspects include capacity building and training to understand and manage climate-related financial risks effectively, proposes a gradual implementation of requirements recognizing the evolving nature of climate risk management and it also is designed to be consistent with other environmental, social, and governance initiative.</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7E41C33" w:rsidR="00702413" w:rsidRPr="009C4D10" w:rsidRDefault="00512761" w:rsidP="00512761">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Key barriers involve a l</w:t>
            </w:r>
            <w:r w:rsidRPr="00512761">
              <w:rPr>
                <w:rFonts w:eastAsia="Times New Roman" w:cstheme="minorHAnsi"/>
                <w:kern w:val="0"/>
                <w:lang w:eastAsia="en-GB"/>
                <w14:ligatures w14:val="none"/>
              </w:rPr>
              <w:t>ack of reliable, standardized, and granular data on climate risks and greenhouse gas emissions complicates measurement and reporting</w:t>
            </w:r>
            <w:r>
              <w:rPr>
                <w:rFonts w:eastAsia="Times New Roman" w:cstheme="minorHAnsi"/>
                <w:kern w:val="0"/>
                <w:lang w:eastAsia="en-GB"/>
                <w14:ligatures w14:val="none"/>
              </w:rPr>
              <w:t>, f</w:t>
            </w:r>
            <w:r w:rsidRPr="00512761">
              <w:rPr>
                <w:rFonts w:eastAsia="Times New Roman" w:cstheme="minorHAnsi"/>
                <w:kern w:val="0"/>
                <w:lang w:eastAsia="en-GB"/>
                <w14:ligatures w14:val="none"/>
              </w:rPr>
              <w:t>inancial institutions and supervisors may have limited technical expertise and resources to fully integrate climate risk into risk management frameworks</w:t>
            </w:r>
            <w:r>
              <w:rPr>
                <w:rFonts w:eastAsia="Times New Roman" w:cstheme="minorHAnsi"/>
                <w:kern w:val="0"/>
                <w:lang w:eastAsia="en-GB"/>
                <w14:ligatures w14:val="none"/>
              </w:rPr>
              <w:t>, difficulties</w:t>
            </w:r>
            <w:r w:rsidRPr="00512761">
              <w:rPr>
                <w:rFonts w:eastAsia="Times New Roman" w:cstheme="minorHAnsi"/>
                <w:kern w:val="0"/>
                <w:lang w:eastAsia="en-GB"/>
                <w14:ligatures w14:val="none"/>
              </w:rPr>
              <w:t xml:space="preserve"> in </w:t>
            </w:r>
            <w:r w:rsidRPr="00512761">
              <w:rPr>
                <w:rFonts w:eastAsia="Times New Roman" w:cstheme="minorHAnsi"/>
                <w:kern w:val="0"/>
                <w:lang w:eastAsia="en-GB"/>
                <w14:ligatures w14:val="none"/>
              </w:rPr>
              <w:t>modelling</w:t>
            </w:r>
            <w:r w:rsidRPr="00512761">
              <w:rPr>
                <w:rFonts w:eastAsia="Times New Roman" w:cstheme="minorHAnsi"/>
                <w:kern w:val="0"/>
                <w:lang w:eastAsia="en-GB"/>
                <w14:ligatures w14:val="none"/>
              </w:rPr>
              <w:t xml:space="preserve"> complex climate scenarios and quantifying uncertain physical and transition </w:t>
            </w:r>
            <w:r>
              <w:rPr>
                <w:rFonts w:eastAsia="Times New Roman" w:cstheme="minorHAnsi"/>
                <w:kern w:val="0"/>
                <w:lang w:eastAsia="en-GB"/>
                <w14:ligatures w14:val="none"/>
              </w:rPr>
              <w:t xml:space="preserve">risks. </w:t>
            </w:r>
            <w:proofErr w:type="gramStart"/>
            <w:r w:rsidRPr="00512761">
              <w:rPr>
                <w:rFonts w:eastAsia="Times New Roman" w:cstheme="minorHAnsi"/>
                <w:kern w:val="0"/>
                <w:lang w:eastAsia="en-GB"/>
                <w14:ligatures w14:val="none"/>
              </w:rPr>
              <w:t>(</w:t>
            </w:r>
            <w:proofErr w:type="gramEnd"/>
            <w:r>
              <w:rPr>
                <w:rFonts w:eastAsia="Times New Roman" w:cstheme="minorHAnsi"/>
                <w:kern w:val="0"/>
                <w:lang w:eastAsia="en-GB"/>
                <w14:ligatures w14:val="none"/>
              </w:rPr>
              <w:t xml:space="preserve">pp. </w:t>
            </w:r>
            <w:r w:rsidRPr="00512761">
              <w:rPr>
                <w:rFonts w:eastAsia="Times New Roman" w:cstheme="minorHAnsi"/>
                <w:kern w:val="0"/>
                <w:lang w:eastAsia="en-GB"/>
                <w14:ligatures w14:val="none"/>
              </w:rPr>
              <w:t>12–13)</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61C69A83" w:rsidR="00FE0EA5" w:rsidRPr="009C4D10" w:rsidRDefault="00FE0EA5" w:rsidP="00CF2E7C">
            <w:pPr>
              <w:rPr>
                <w:rFonts w:cstheme="minorHAnsi"/>
              </w:rPr>
            </w:pPr>
            <w:r w:rsidRPr="009C4D10">
              <w:rPr>
                <w:rFonts w:cstheme="minorHAnsi"/>
                <w:lang w:val="en-SG"/>
              </w:rPr>
              <w:t> </w:t>
            </w:r>
            <w:r w:rsidRPr="009C4D10">
              <w:rPr>
                <w:rFonts w:cstheme="minorHAnsi"/>
              </w:rPr>
              <w:t> </w:t>
            </w:r>
            <w:r w:rsidR="00512761">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1B228290" w:rsidR="00FE0EA5" w:rsidRPr="009C4D10" w:rsidRDefault="00FE0EA5" w:rsidP="00CF2E7C">
            <w:pPr>
              <w:rPr>
                <w:rFonts w:cstheme="minorHAnsi"/>
              </w:rPr>
            </w:pPr>
            <w:r w:rsidRPr="009C4D10">
              <w:rPr>
                <w:rFonts w:cstheme="minorHAnsi"/>
                <w:lang w:val="en-SG"/>
              </w:rPr>
              <w:t> </w:t>
            </w:r>
            <w:r w:rsidRPr="009C4D10">
              <w:rPr>
                <w:rFonts w:cstheme="minorHAnsi"/>
              </w:rPr>
              <w:t> </w:t>
            </w:r>
            <w:r w:rsidR="00512761">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ipervnculo"/>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15F7822A" w:rsidR="00FE0EA5" w:rsidRPr="009C4D10" w:rsidRDefault="00FE0EA5" w:rsidP="00CF2E7C">
            <w:pPr>
              <w:rPr>
                <w:rFonts w:cstheme="minorHAnsi"/>
              </w:rPr>
            </w:pPr>
            <w:r w:rsidRPr="009C4D10">
              <w:rPr>
                <w:rFonts w:cstheme="minorHAnsi"/>
                <w:lang w:val="en-SG"/>
              </w:rPr>
              <w:t> </w:t>
            </w:r>
            <w:r w:rsidRPr="009C4D10">
              <w:rPr>
                <w:rFonts w:cstheme="minorHAnsi"/>
              </w:rPr>
              <w:t> </w:t>
            </w:r>
            <w:r w:rsidR="00512761">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ipervnculo"/>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53495368" w:rsidR="00FE0EA5" w:rsidRPr="009C4D10" w:rsidRDefault="00FE0EA5" w:rsidP="00CF2E7C">
            <w:pPr>
              <w:rPr>
                <w:rFonts w:cstheme="minorHAnsi"/>
              </w:rPr>
            </w:pPr>
            <w:r w:rsidRPr="009C4D10">
              <w:rPr>
                <w:rFonts w:cstheme="minorHAnsi"/>
                <w:lang w:val="en-SG"/>
              </w:rPr>
              <w:t> </w:t>
            </w:r>
            <w:r w:rsidRPr="009C4D10">
              <w:rPr>
                <w:rFonts w:cstheme="minorHAnsi"/>
              </w:rPr>
              <w:t> </w:t>
            </w:r>
            <w:r w:rsidR="00512761">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3F11A7EE" w:rsidR="00FE0EA5" w:rsidRPr="009C4D10" w:rsidRDefault="00FE0EA5" w:rsidP="00CF2E7C">
            <w:pPr>
              <w:rPr>
                <w:rFonts w:cstheme="minorHAnsi"/>
              </w:rPr>
            </w:pPr>
            <w:r w:rsidRPr="009C4D10">
              <w:rPr>
                <w:rFonts w:cstheme="minorHAnsi"/>
                <w:lang w:val="en-SG"/>
              </w:rPr>
              <w:t> </w:t>
            </w:r>
            <w:r w:rsidRPr="009C4D10">
              <w:rPr>
                <w:rFonts w:cstheme="minorHAnsi"/>
              </w:rPr>
              <w:t> </w:t>
            </w:r>
            <w:r w:rsidR="00512761">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3642590" w:rsidR="00FE0EA5" w:rsidRPr="009C4D10" w:rsidRDefault="00512761" w:rsidP="00CF2E7C">
            <w:pPr>
              <w:rPr>
                <w:rFonts w:cstheme="minorHAnsi"/>
              </w:rPr>
            </w:pPr>
            <w:r>
              <w:rPr>
                <w:rFonts w:cstheme="minorHAnsi"/>
              </w:rPr>
              <w:t>X</w:t>
            </w:r>
            <w:r w:rsidR="00FE0EA5"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lastRenderedPageBreak/>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5401BF75" w:rsidR="00FE0EA5" w:rsidRPr="009C4D10" w:rsidRDefault="00FE0EA5" w:rsidP="00CF2E7C">
            <w:pPr>
              <w:rPr>
                <w:rFonts w:cstheme="minorHAnsi"/>
              </w:rPr>
            </w:pPr>
            <w:r w:rsidRPr="009C4D10">
              <w:rPr>
                <w:rFonts w:cstheme="minorHAnsi"/>
                <w:lang w:val="en-SG"/>
              </w:rPr>
              <w:t> </w:t>
            </w:r>
            <w:r w:rsidRPr="009C4D10">
              <w:rPr>
                <w:rFonts w:cstheme="minorHAnsi"/>
              </w:rPr>
              <w:t> </w:t>
            </w:r>
            <w:r w:rsidR="00512761">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ipervnculo"/>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laconcuadrcula"/>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aconcuadrcula"/>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laconcuadrcula"/>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aconcuadrcula"/>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laconcuadrcula"/>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laconcuadrcula"/>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laconcuadrcula"/>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aconcuadrcula"/>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aconcuadrcula"/>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B93858" w14:textId="77777777" w:rsidR="00273F2B" w:rsidRDefault="00273F2B" w:rsidP="00874E39">
      <w:r>
        <w:separator/>
      </w:r>
    </w:p>
  </w:endnote>
  <w:endnote w:type="continuationSeparator" w:id="0">
    <w:p w14:paraId="5D0C9040" w14:textId="77777777" w:rsidR="00273F2B" w:rsidRDefault="00273F2B" w:rsidP="00874E39">
      <w:r>
        <w:continuationSeparator/>
      </w:r>
    </w:p>
  </w:endnote>
  <w:endnote w:type="continuationNotice" w:id="1">
    <w:p w14:paraId="0C0DA253" w14:textId="77777777" w:rsidR="00273F2B" w:rsidRDefault="00273F2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Nmerodepgina"/>
      </w:rPr>
      <w:id w:val="1861312571"/>
      <w:docPartObj>
        <w:docPartGallery w:val="Page Numbers (Bottom of Page)"/>
        <w:docPartUnique/>
      </w:docPartObj>
    </w:sdtPr>
    <w:sdtContent>
      <w:p w14:paraId="527773AC" w14:textId="740704FD" w:rsidR="00874E39" w:rsidRDefault="00874E39">
        <w:pPr>
          <w:pStyle w:val="Piedepgina"/>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Piedepgina"/>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Piedepgina"/>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Piedepgina"/>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Piedepgina"/>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DCC3390"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CC98F0" w14:textId="77777777" w:rsidR="00273F2B" w:rsidRDefault="00273F2B" w:rsidP="00874E39">
      <w:r>
        <w:separator/>
      </w:r>
    </w:p>
  </w:footnote>
  <w:footnote w:type="continuationSeparator" w:id="0">
    <w:p w14:paraId="23EE19CB" w14:textId="77777777" w:rsidR="00273F2B" w:rsidRDefault="00273F2B" w:rsidP="00874E39">
      <w:r>
        <w:continuationSeparator/>
      </w:r>
    </w:p>
  </w:footnote>
  <w:footnote w:type="continuationNotice" w:id="1">
    <w:p w14:paraId="0797AB2C" w14:textId="77777777" w:rsidR="00273F2B" w:rsidRDefault="00273F2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Encabezado"/>
            <w:ind w:left="-115"/>
          </w:pPr>
        </w:p>
      </w:tc>
      <w:tc>
        <w:tcPr>
          <w:tcW w:w="3485" w:type="dxa"/>
        </w:tcPr>
        <w:p w14:paraId="04884984" w14:textId="3A1DF521" w:rsidR="6D73AD7A" w:rsidRDefault="6D73AD7A" w:rsidP="6D73AD7A">
          <w:pPr>
            <w:pStyle w:val="Encabezado"/>
            <w:jc w:val="center"/>
          </w:pPr>
        </w:p>
      </w:tc>
      <w:tc>
        <w:tcPr>
          <w:tcW w:w="3485" w:type="dxa"/>
        </w:tcPr>
        <w:p w14:paraId="461B504B" w14:textId="710878DC" w:rsidR="6D73AD7A" w:rsidRDefault="6D73AD7A" w:rsidP="6D73AD7A">
          <w:pPr>
            <w:pStyle w:val="Encabezado"/>
            <w:ind w:right="-115"/>
            <w:jc w:val="right"/>
          </w:pPr>
        </w:p>
      </w:tc>
    </w:tr>
  </w:tbl>
  <w:p w14:paraId="4E3F7338" w14:textId="24652282" w:rsidR="00345B1A" w:rsidRDefault="00345B1A">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Encabezado"/>
            <w:ind w:left="-115"/>
          </w:pPr>
        </w:p>
      </w:tc>
      <w:tc>
        <w:tcPr>
          <w:tcW w:w="3485" w:type="dxa"/>
        </w:tcPr>
        <w:p w14:paraId="1A6A8504" w14:textId="77777777" w:rsidR="00AA4965" w:rsidRDefault="00AA4965" w:rsidP="6D73AD7A">
          <w:pPr>
            <w:pStyle w:val="Encabezado"/>
            <w:jc w:val="center"/>
          </w:pPr>
        </w:p>
      </w:tc>
      <w:tc>
        <w:tcPr>
          <w:tcW w:w="3485" w:type="dxa"/>
        </w:tcPr>
        <w:p w14:paraId="037D9CBC" w14:textId="77777777" w:rsidR="00AA4965" w:rsidRDefault="00AA4965" w:rsidP="6D73AD7A">
          <w:pPr>
            <w:pStyle w:val="Encabezado"/>
            <w:ind w:right="-115"/>
            <w:jc w:val="right"/>
          </w:pPr>
        </w:p>
      </w:tc>
    </w:tr>
  </w:tbl>
  <w:p w14:paraId="6739A47D" w14:textId="77777777" w:rsidR="00696548" w:rsidRDefault="00696548">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490ADA"/>
    <w:multiLevelType w:val="hybridMultilevel"/>
    <w:tmpl w:val="EB20D02C"/>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4"/>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7"/>
  </w:num>
  <w:num w:numId="49" w16cid:durableId="1587811123">
    <w:abstractNumId w:val="2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E8E"/>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1CC0"/>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188E"/>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14F2"/>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85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3F2B"/>
    <w:rsid w:val="00273F67"/>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D8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57BCC"/>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89A"/>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67D02"/>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6F78"/>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761"/>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A16"/>
    <w:rsid w:val="00532585"/>
    <w:rsid w:val="00532B66"/>
    <w:rsid w:val="00536B60"/>
    <w:rsid w:val="00537706"/>
    <w:rsid w:val="005405A8"/>
    <w:rsid w:val="00541713"/>
    <w:rsid w:val="005421E5"/>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2FA5"/>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5D1C"/>
    <w:rsid w:val="005A76C9"/>
    <w:rsid w:val="005A77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1CDB"/>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7C6"/>
    <w:rsid w:val="00794D7C"/>
    <w:rsid w:val="00795F60"/>
    <w:rsid w:val="007963A0"/>
    <w:rsid w:val="00796DBC"/>
    <w:rsid w:val="007976D7"/>
    <w:rsid w:val="007A24F7"/>
    <w:rsid w:val="007A316E"/>
    <w:rsid w:val="007A426C"/>
    <w:rsid w:val="007A5D75"/>
    <w:rsid w:val="007A5F89"/>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D7345"/>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56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27C3"/>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644B"/>
    <w:rsid w:val="008B7E8C"/>
    <w:rsid w:val="008B7F82"/>
    <w:rsid w:val="008C07E1"/>
    <w:rsid w:val="008C0FA6"/>
    <w:rsid w:val="008C1A7F"/>
    <w:rsid w:val="008C2AC5"/>
    <w:rsid w:val="008C2E61"/>
    <w:rsid w:val="008C4722"/>
    <w:rsid w:val="008C5525"/>
    <w:rsid w:val="008C718C"/>
    <w:rsid w:val="008C7352"/>
    <w:rsid w:val="008C78AD"/>
    <w:rsid w:val="008C7C90"/>
    <w:rsid w:val="008D018C"/>
    <w:rsid w:val="008D0461"/>
    <w:rsid w:val="008D08EB"/>
    <w:rsid w:val="008D0BA1"/>
    <w:rsid w:val="008D13FF"/>
    <w:rsid w:val="008D2B18"/>
    <w:rsid w:val="008D2FA8"/>
    <w:rsid w:val="008D45C5"/>
    <w:rsid w:val="008D5150"/>
    <w:rsid w:val="008D54CE"/>
    <w:rsid w:val="008D78E4"/>
    <w:rsid w:val="008E1EEF"/>
    <w:rsid w:val="008E340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0F40"/>
    <w:rsid w:val="00911F20"/>
    <w:rsid w:val="009128F1"/>
    <w:rsid w:val="00912DDA"/>
    <w:rsid w:val="00913362"/>
    <w:rsid w:val="00913BB1"/>
    <w:rsid w:val="00913FA1"/>
    <w:rsid w:val="009149FE"/>
    <w:rsid w:val="00914A85"/>
    <w:rsid w:val="00915243"/>
    <w:rsid w:val="00915474"/>
    <w:rsid w:val="0091571B"/>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632"/>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7B4"/>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47D20"/>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87467"/>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562"/>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259"/>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97A"/>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592"/>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865"/>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5A44"/>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51C5"/>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4936"/>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920"/>
    <w:rsid w:val="00F01EE6"/>
    <w:rsid w:val="00F01F98"/>
    <w:rsid w:val="00F02219"/>
    <w:rsid w:val="00F03665"/>
    <w:rsid w:val="00F03D4C"/>
    <w:rsid w:val="00F0409B"/>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D02"/>
    <w:rsid w:val="00F6108E"/>
    <w:rsid w:val="00F61CB7"/>
    <w:rsid w:val="00F6292A"/>
    <w:rsid w:val="00F62C69"/>
    <w:rsid w:val="00F63214"/>
    <w:rsid w:val="00F632FB"/>
    <w:rsid w:val="00F63EEB"/>
    <w:rsid w:val="00F646F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3C5"/>
    <w:rsid w:val="00FE4FA5"/>
    <w:rsid w:val="00FE546E"/>
    <w:rsid w:val="00FE6453"/>
    <w:rsid w:val="00FE66B1"/>
    <w:rsid w:val="00FE724E"/>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005046"/>
    <w:rPr>
      <w:rFonts w:eastAsiaTheme="majorEastAsia" w:cstheme="majorBidi"/>
      <w:b/>
      <w:color w:val="142541"/>
      <w:sz w:val="40"/>
      <w:szCs w:val="40"/>
    </w:rPr>
  </w:style>
  <w:style w:type="character" w:customStyle="1" w:styleId="Ttulo2Car">
    <w:name w:val="Título 2 Car"/>
    <w:basedOn w:val="Fuentedeprrafopredeter"/>
    <w:link w:val="Ttulo2"/>
    <w:uiPriority w:val="9"/>
    <w:rsid w:val="00576C68"/>
    <w:rPr>
      <w:rFonts w:eastAsiaTheme="majorEastAsia" w:cstheme="majorBidi"/>
      <w:b/>
      <w:color w:val="304E88"/>
      <w:sz w:val="32"/>
      <w:szCs w:val="32"/>
    </w:rPr>
  </w:style>
  <w:style w:type="character" w:customStyle="1" w:styleId="Ttulo3Car">
    <w:name w:val="Título 3 Car"/>
    <w:basedOn w:val="Fuentedeprrafopredeter"/>
    <w:link w:val="Ttulo3"/>
    <w:uiPriority w:val="9"/>
    <w:rsid w:val="001206CE"/>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rsid w:val="001206CE"/>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1206CE"/>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1206C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1206C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1206C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1206C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1206CE"/>
    <w:pPr>
      <w:spacing w:before="160" w:after="160"/>
      <w:jc w:val="center"/>
    </w:pPr>
    <w:rPr>
      <w:i/>
      <w:iCs/>
      <w:color w:val="404040" w:themeColor="text1" w:themeTint="BF"/>
    </w:rPr>
  </w:style>
  <w:style w:type="character" w:customStyle="1" w:styleId="CitaCar">
    <w:name w:val="Cita Car"/>
    <w:basedOn w:val="Fuentedeprrafopredeter"/>
    <w:link w:val="Cita"/>
    <w:uiPriority w:val="29"/>
    <w:rsid w:val="001206CE"/>
    <w:rPr>
      <w:i/>
      <w:iCs/>
      <w:color w:val="404040" w:themeColor="text1" w:themeTint="BF"/>
    </w:rPr>
  </w:style>
  <w:style w:type="paragraph" w:styleId="Prrafodelista">
    <w:name w:val="List Paragraph"/>
    <w:basedOn w:val="Normal"/>
    <w:uiPriority w:val="34"/>
    <w:qFormat/>
    <w:rsid w:val="001206CE"/>
    <w:pPr>
      <w:ind w:left="720"/>
      <w:contextualSpacing/>
    </w:pPr>
  </w:style>
  <w:style w:type="character" w:styleId="nfasisintenso">
    <w:name w:val="Intense Emphasis"/>
    <w:basedOn w:val="Fuentedeprrafopredeter"/>
    <w:uiPriority w:val="21"/>
    <w:qFormat/>
    <w:rsid w:val="001206CE"/>
    <w:rPr>
      <w:i/>
      <w:iCs/>
      <w:color w:val="2F5496" w:themeColor="accent1" w:themeShade="BF"/>
    </w:rPr>
  </w:style>
  <w:style w:type="paragraph" w:styleId="Citadestacada">
    <w:name w:val="Intense Quote"/>
    <w:basedOn w:val="Normal"/>
    <w:next w:val="Normal"/>
    <w:link w:val="CitadestacadaC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1206CE"/>
    <w:rPr>
      <w:i/>
      <w:iCs/>
      <w:color w:val="2F5496" w:themeColor="accent1" w:themeShade="BF"/>
    </w:rPr>
  </w:style>
  <w:style w:type="character" w:styleId="Referenciaintensa">
    <w:name w:val="Intense Reference"/>
    <w:basedOn w:val="Fuentedeprrafopredeter"/>
    <w:uiPriority w:val="32"/>
    <w:qFormat/>
    <w:rsid w:val="001206CE"/>
    <w:rPr>
      <w:b/>
      <w:bCs/>
      <w:smallCaps/>
      <w:color w:val="2F5496" w:themeColor="accent1" w:themeShade="BF"/>
      <w:spacing w:val="5"/>
    </w:rPr>
  </w:style>
  <w:style w:type="table" w:styleId="Tablaconcuadrcula">
    <w:name w:val="Table Grid"/>
    <w:basedOn w:val="Tab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274864"/>
    <w:rPr>
      <w:color w:val="0563C1" w:themeColor="hyperlink"/>
      <w:u w:val="single"/>
    </w:rPr>
  </w:style>
  <w:style w:type="character" w:styleId="Mencinsinresolver">
    <w:name w:val="Unresolved Mention"/>
    <w:basedOn w:val="Fuentedeprrafopredeter"/>
    <w:uiPriority w:val="99"/>
    <w:semiHidden/>
    <w:unhideWhenUsed/>
    <w:rsid w:val="00274864"/>
    <w:rPr>
      <w:color w:val="605E5C"/>
      <w:shd w:val="clear" w:color="auto" w:fill="E1DFDD"/>
    </w:rPr>
  </w:style>
  <w:style w:type="character" w:customStyle="1" w:styleId="normaltextrun">
    <w:name w:val="normaltextrun"/>
    <w:basedOn w:val="Fuentedeprrafopredeter"/>
    <w:rsid w:val="001D7A0B"/>
  </w:style>
  <w:style w:type="character" w:styleId="Refdecomentario">
    <w:name w:val="annotation reference"/>
    <w:basedOn w:val="Fuentedeprrafopredeter"/>
    <w:uiPriority w:val="99"/>
    <w:semiHidden/>
    <w:unhideWhenUsed/>
    <w:rsid w:val="00A301E4"/>
    <w:rPr>
      <w:sz w:val="16"/>
      <w:szCs w:val="16"/>
    </w:rPr>
  </w:style>
  <w:style w:type="paragraph" w:styleId="Textocomentario">
    <w:name w:val="annotation text"/>
    <w:basedOn w:val="Normal"/>
    <w:link w:val="TextocomentarioCar"/>
    <w:uiPriority w:val="99"/>
    <w:unhideWhenUsed/>
    <w:rsid w:val="00A301E4"/>
    <w:rPr>
      <w:sz w:val="20"/>
      <w:szCs w:val="20"/>
    </w:rPr>
  </w:style>
  <w:style w:type="character" w:customStyle="1" w:styleId="TextocomentarioCar">
    <w:name w:val="Texto comentario Car"/>
    <w:basedOn w:val="Fuentedeprrafopredeter"/>
    <w:link w:val="Textocomentario"/>
    <w:uiPriority w:val="99"/>
    <w:rsid w:val="00A301E4"/>
    <w:rPr>
      <w:sz w:val="20"/>
      <w:szCs w:val="20"/>
    </w:rPr>
  </w:style>
  <w:style w:type="paragraph" w:styleId="Asuntodelcomentario">
    <w:name w:val="annotation subject"/>
    <w:basedOn w:val="Textocomentario"/>
    <w:next w:val="Textocomentario"/>
    <w:link w:val="AsuntodelcomentarioCar"/>
    <w:uiPriority w:val="99"/>
    <w:semiHidden/>
    <w:unhideWhenUsed/>
    <w:rsid w:val="00A301E4"/>
    <w:rPr>
      <w:b/>
      <w:bCs/>
    </w:rPr>
  </w:style>
  <w:style w:type="character" w:customStyle="1" w:styleId="AsuntodelcomentarioCar">
    <w:name w:val="Asunto del comentario Car"/>
    <w:basedOn w:val="TextocomentarioCar"/>
    <w:link w:val="Asuntodelcomentario"/>
    <w:uiPriority w:val="99"/>
    <w:semiHidden/>
    <w:rsid w:val="00A301E4"/>
    <w:rPr>
      <w:b/>
      <w:bCs/>
      <w:sz w:val="20"/>
      <w:szCs w:val="20"/>
    </w:rPr>
  </w:style>
  <w:style w:type="paragraph" w:styleId="TDC1">
    <w:name w:val="toc 1"/>
    <w:basedOn w:val="Normal"/>
    <w:next w:val="Normal"/>
    <w:autoRedefine/>
    <w:uiPriority w:val="39"/>
    <w:unhideWhenUsed/>
    <w:rsid w:val="005F3137"/>
    <w:pPr>
      <w:spacing w:after="100"/>
    </w:pPr>
  </w:style>
  <w:style w:type="paragraph" w:styleId="TDC2">
    <w:name w:val="toc 2"/>
    <w:basedOn w:val="Normal"/>
    <w:next w:val="Normal"/>
    <w:autoRedefine/>
    <w:uiPriority w:val="39"/>
    <w:unhideWhenUsed/>
    <w:rsid w:val="008F31B3"/>
    <w:pPr>
      <w:spacing w:after="100"/>
      <w:ind w:left="240"/>
    </w:pPr>
  </w:style>
  <w:style w:type="paragraph" w:styleId="Revisin">
    <w:name w:val="Revision"/>
    <w:hidden/>
    <w:uiPriority w:val="99"/>
    <w:semiHidden/>
    <w:rsid w:val="00741AA1"/>
  </w:style>
  <w:style w:type="numbering" w:customStyle="1" w:styleId="Multipunch">
    <w:name w:val="Multi punch"/>
    <w:rsid w:val="006225F1"/>
    <w:pPr>
      <w:numPr>
        <w:numId w:val="47"/>
      </w:numPr>
    </w:pPr>
  </w:style>
  <w:style w:type="paragraph" w:styleId="TDC3">
    <w:name w:val="toc 3"/>
    <w:basedOn w:val="Normal"/>
    <w:next w:val="Normal"/>
    <w:autoRedefine/>
    <w:uiPriority w:val="39"/>
    <w:unhideWhenUsed/>
    <w:rsid w:val="00DA420C"/>
    <w:pPr>
      <w:spacing w:after="100"/>
      <w:ind w:left="480"/>
    </w:pPr>
  </w:style>
  <w:style w:type="paragraph" w:styleId="Piedepgina">
    <w:name w:val="footer"/>
    <w:basedOn w:val="Normal"/>
    <w:link w:val="PiedepginaCar"/>
    <w:uiPriority w:val="99"/>
    <w:unhideWhenUsed/>
    <w:rsid w:val="00874E39"/>
    <w:pPr>
      <w:tabs>
        <w:tab w:val="center" w:pos="4513"/>
        <w:tab w:val="right" w:pos="9026"/>
      </w:tabs>
    </w:pPr>
  </w:style>
  <w:style w:type="character" w:customStyle="1" w:styleId="PiedepginaCar">
    <w:name w:val="Pie de página Car"/>
    <w:basedOn w:val="Fuentedeprrafopredeter"/>
    <w:link w:val="Piedepgina"/>
    <w:uiPriority w:val="99"/>
    <w:rsid w:val="00874E39"/>
  </w:style>
  <w:style w:type="character" w:styleId="Nmerodepgina">
    <w:name w:val="page number"/>
    <w:basedOn w:val="Fuentedeprrafopredeter"/>
    <w:uiPriority w:val="99"/>
    <w:semiHidden/>
    <w:unhideWhenUsed/>
    <w:rsid w:val="00874E39"/>
  </w:style>
  <w:style w:type="character" w:customStyle="1" w:styleId="eop">
    <w:name w:val="eop"/>
    <w:basedOn w:val="Fuentedeprrafopredeter"/>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uentedeprrafopredeter"/>
    <w:rsid w:val="00702413"/>
  </w:style>
  <w:style w:type="character" w:styleId="Hipervnculovisitado">
    <w:name w:val="FollowedHyperlink"/>
    <w:basedOn w:val="Fuentedeprrafopredeter"/>
    <w:uiPriority w:val="99"/>
    <w:semiHidden/>
    <w:unhideWhenUsed/>
    <w:rsid w:val="00702413"/>
    <w:rPr>
      <w:color w:val="800080"/>
      <w:u w:val="single"/>
    </w:rPr>
  </w:style>
  <w:style w:type="paragraph" w:styleId="Encabezado">
    <w:name w:val="header"/>
    <w:basedOn w:val="Normal"/>
    <w:link w:val="EncabezadoCar"/>
    <w:uiPriority w:val="99"/>
    <w:unhideWhenUsed/>
    <w:rsid w:val="00E603D8"/>
    <w:pPr>
      <w:tabs>
        <w:tab w:val="center" w:pos="4680"/>
        <w:tab w:val="right" w:pos="9360"/>
      </w:tabs>
    </w:pPr>
  </w:style>
  <w:style w:type="character" w:customStyle="1" w:styleId="EncabezadoCar">
    <w:name w:val="Encabezado Car"/>
    <w:basedOn w:val="Fuentedeprrafopredeter"/>
    <w:link w:val="Encabezado"/>
    <w:uiPriority w:val="99"/>
    <w:rsid w:val="00E603D8"/>
  </w:style>
  <w:style w:type="character" w:styleId="Mencionar">
    <w:name w:val="Mention"/>
    <w:basedOn w:val="Fuentedeprrafopredeter"/>
    <w:uiPriority w:val="99"/>
    <w:unhideWhenUsed/>
    <w:rsid w:val="00406643"/>
    <w:rPr>
      <w:color w:val="2B579A"/>
      <w:shd w:val="clear" w:color="auto" w:fill="E1DFDD"/>
    </w:rPr>
  </w:style>
  <w:style w:type="paragraph" w:styleId="Sinespaciad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cmfchile.cl/portal/principal/613/articles-29872_informe_doc.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2BFED3-7D1B-46AD-8B8D-F4724EBCCBD6}"/>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112</Pages>
  <Words>23554</Words>
  <Characters>129549</Characters>
  <Application>Microsoft Office Word</Application>
  <DocSecurity>0</DocSecurity>
  <Lines>1079</Lines>
  <Paragraphs>305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152798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Sophia Astudillo | Eelaw</cp:lastModifiedBy>
  <cp:revision>2</cp:revision>
  <cp:lastPrinted>2025-03-21T00:14:00Z</cp:lastPrinted>
  <dcterms:created xsi:type="dcterms:W3CDTF">2025-07-17T21:45:00Z</dcterms:created>
  <dcterms:modified xsi:type="dcterms:W3CDTF">2025-07-17T21:45:00Z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